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CDC956" w14:textId="77777777" w:rsidR="0022579F" w:rsidRPr="00FA68B1" w:rsidRDefault="0022579F" w:rsidP="0022579F">
      <w:pPr>
        <w:spacing w:line="480" w:lineRule="auto"/>
        <w:rPr>
          <w:rFonts w:ascii="Arial" w:hAnsi="Arial" w:cs="Arial"/>
          <w:sz w:val="22"/>
          <w:szCs w:val="22"/>
        </w:rPr>
      </w:pPr>
      <w:r w:rsidRPr="00FA68B1">
        <w:rPr>
          <w:rFonts w:ascii="Arial" w:hAnsi="Arial" w:cs="Arial"/>
          <w:b/>
          <w:sz w:val="22"/>
          <w:szCs w:val="22"/>
        </w:rPr>
        <w:t>Participants.</w:t>
      </w:r>
      <w:r w:rsidRPr="00FA68B1">
        <w:rPr>
          <w:rFonts w:ascii="Arial" w:hAnsi="Arial" w:cs="Arial"/>
          <w:sz w:val="22"/>
          <w:szCs w:val="22"/>
        </w:rPr>
        <w:t xml:space="preserve"> </w:t>
      </w:r>
    </w:p>
    <w:p w14:paraId="27B1AE4D" w14:textId="77777777" w:rsidR="0022579F" w:rsidRPr="00FA68B1" w:rsidRDefault="0022579F" w:rsidP="0022579F">
      <w:pPr>
        <w:spacing w:line="480" w:lineRule="auto"/>
        <w:ind w:firstLine="720"/>
        <w:rPr>
          <w:rFonts w:ascii="Arial" w:hAnsi="Arial" w:cs="Arial"/>
          <w:sz w:val="22"/>
          <w:szCs w:val="22"/>
        </w:rPr>
      </w:pPr>
      <w:r w:rsidRPr="00FA68B1">
        <w:rPr>
          <w:rFonts w:ascii="Arial" w:hAnsi="Arial" w:cs="Arial"/>
          <w:b/>
          <w:sz w:val="22"/>
          <w:szCs w:val="22"/>
        </w:rPr>
        <w:t>Non-twin case-controls.</w:t>
      </w:r>
      <w:r w:rsidRPr="00FA68B1">
        <w:rPr>
          <w:rFonts w:ascii="Arial" w:hAnsi="Arial" w:cs="Arial"/>
          <w:sz w:val="22"/>
          <w:szCs w:val="22"/>
        </w:rPr>
        <w:t xml:space="preserve"> Case-controls were selected from the Oregon ADHD Longitudinal Study Cohort (for illustrative prior papers see </w:t>
      </w:r>
      <w:r w:rsidRPr="00FA68B1">
        <w:rPr>
          <w:rFonts w:ascii="Arial" w:hAnsi="Arial" w:cs="Arial"/>
          <w:sz w:val="22"/>
          <w:szCs w:val="22"/>
        </w:rPr>
        <w:fldChar w:fldCharType="begin"/>
      </w:r>
      <w:r w:rsidRPr="00FA68B1">
        <w:rPr>
          <w:rFonts w:ascii="Arial" w:hAnsi="Arial" w:cs="Arial"/>
          <w:sz w:val="22"/>
          <w:szCs w:val="22"/>
        </w:rPr>
        <w:instrText xml:space="preserve"> ADDIN EN.CITE &lt;EndNote&gt;&lt;Cite&gt;&lt;Author&gt;Nigg&lt;/Author&gt;&lt;Year&gt;2018&lt;/Year&gt;&lt;RecNum&gt;241&lt;/RecNum&gt;&lt;DisplayText&gt;(10)&lt;/DisplayText&gt;&lt;record&gt;&lt;rec-number&gt;241&lt;/rec-number&gt;&lt;foreign-keys&gt;&lt;key app="EN" db-id="pv9rsp2edtstz0es9f8x0wepervvtr0xzw90" timestamp="1564169515"&gt;241&lt;/key&gt;&lt;/foreign-keys&gt;&lt;ref-type name="Journal Article"&gt;17&lt;/ref-type&gt;&lt;contributors&gt;&lt;authors&gt;&lt;author&gt;Nigg, J. T.&lt;/author&gt;&lt;author&gt;Gustafsson, H. C.&lt;/author&gt;&lt;author&gt;Karalunas, S. L.&lt;/author&gt;&lt;author&gt;Ryabinin, P.&lt;/author&gt;&lt;author&gt;McWeeney, S. K.&lt;/author&gt;&lt;author&gt;Faraone, S. V.&lt;/author&gt;&lt;author&gt;Mooney, M. A.&lt;/author&gt;&lt;author&gt;Fair, D. A.&lt;/author&gt;&lt;author&gt;Wilmot, B.&lt;/author&gt;&lt;/authors&gt;&lt;/contributors&gt;&lt;auth-address&gt;Oregon Health and Science University, Portland. Electronic address: niggj@ohsu.edu.&amp;#xD;Oregon Health and Science University, Portland.&amp;#xD;State University of New York Upstate Medical University, Syracuse.&lt;/auth-address&gt;&lt;titles&gt;&lt;title&gt;Working Memory and Vigilance as Multivariate Endophenotypes Related to Common Genetic Risk for Attention-Deficit/Hyperactivity Disorder&lt;/title&gt;&lt;secondary-title&gt;J Am Acad Child Adolesc Psychiatry&lt;/secondary-title&gt;&lt;/titles&gt;&lt;periodical&gt;&lt;full-title&gt;J Am Acad Child Adolesc Psychiatry&lt;/full-title&gt;&lt;/periodical&gt;&lt;pages&gt;175-182&lt;/pages&gt;&lt;volume&gt;57&lt;/volume&gt;&lt;number&gt;3&lt;/number&gt;&lt;edition&gt;2018/03/03&lt;/edition&gt;&lt;keywords&gt;&lt;keyword&gt;Adhd&lt;/keyword&gt;&lt;keyword&gt;endophenotype&lt;/keyword&gt;&lt;keyword&gt;executive function&lt;/keyword&gt;&lt;keyword&gt;polygenic score&lt;/keyword&gt;&lt;keyword&gt;working memory&lt;/keyword&gt;&lt;/keywords&gt;&lt;dates&gt;&lt;year&gt;2018&lt;/year&gt;&lt;pub-dates&gt;&lt;date&gt;Mar&lt;/date&gt;&lt;/pub-dates&gt;&lt;/dates&gt;&lt;isbn&gt;1527-5418 (Electronic)&amp;#xD;0890-8567 (Linking)&lt;/isbn&gt;&lt;accession-num&gt;29496126&lt;/accession-num&gt;&lt;urls&gt;&lt;related-urls&gt;&lt;url&gt;https://www.ncbi.nlm.nih.gov/pubmed/29496126&lt;/url&gt;&lt;/related-urls&gt;&lt;/urls&gt;&lt;custom2&gt;PMC6547382&lt;/custom2&gt;&lt;electronic-resource-num&gt;10.1016/j.jaac.2017.12.013&lt;/electronic-resource-num&gt;&lt;/record&gt;&lt;/Cite&gt;&lt;/EndNote&gt;</w:instrText>
      </w:r>
      <w:r w:rsidRPr="00FA68B1">
        <w:rPr>
          <w:rFonts w:ascii="Arial" w:hAnsi="Arial" w:cs="Arial"/>
          <w:sz w:val="22"/>
          <w:szCs w:val="22"/>
        </w:rPr>
        <w:fldChar w:fldCharType="separate"/>
      </w:r>
      <w:r w:rsidRPr="00FA68B1">
        <w:rPr>
          <w:rFonts w:ascii="Arial" w:hAnsi="Arial" w:cs="Arial"/>
          <w:noProof/>
          <w:sz w:val="22"/>
          <w:szCs w:val="22"/>
        </w:rPr>
        <w:t>(10)</w:t>
      </w:r>
      <w:r w:rsidRPr="00FA68B1">
        <w:rPr>
          <w:rFonts w:ascii="Arial" w:hAnsi="Arial" w:cs="Arial"/>
          <w:sz w:val="22"/>
          <w:szCs w:val="22"/>
        </w:rPr>
        <w:fldChar w:fldCharType="end"/>
      </w:r>
      <w:r w:rsidRPr="00FA68B1">
        <w:rPr>
          <w:rFonts w:ascii="Arial" w:hAnsi="Arial" w:cs="Arial"/>
          <w:sz w:val="22"/>
          <w:szCs w:val="22"/>
        </w:rPr>
        <w:t xml:space="preserve"> </w:t>
      </w:r>
      <w:r w:rsidRPr="00FA68B1">
        <w:rPr>
          <w:rFonts w:ascii="Arial" w:hAnsi="Arial" w:cs="Arial"/>
          <w:sz w:val="22"/>
          <w:szCs w:val="22"/>
        </w:rPr>
        <w:fldChar w:fldCharType="begin">
          <w:fldData xml:space="preserve">PEVuZE5vdGU+PENpdGU+PEF1dGhvcj5NaWxsZXI8L0F1dGhvcj48WWVhcj4yMDE4PC9ZZWFyPjxS
ZWNOdW0+MjQyPC9SZWNOdW0+PERpc3BsYXlUZXh0PigxMSk8L0Rpc3BsYXlUZXh0PjxyZWNvcmQ+
PHJlYy1udW1iZXI+MjQyPC9yZWMtbnVtYmVyPjxmb3JlaWduLWtleXM+PGtleSBhcHA9IkVOIiBk
Yi1pZD0icHY5cnNwMmVkdHN0ejBlczlmOHgwd2VwZXJ2dnRyMHh6dzkwIiB0aW1lc3RhbXA9IjE1
NjQxNjk3NzIiPjI0Mjwva2V5PjwvZm9yZWlnbi1rZXlzPjxyZWYtdHlwZSBuYW1lPSJKb3VybmFs
IEFydGljbGUiPjE3PC9yZWYtdHlwZT48Y29udHJpYnV0b3JzPjxhdXRob3JzPjxhdXRob3I+TWls
bGVyLCBMLiBMLjwvYXV0aG9yPjxhdXRob3I+R3VzdGFmc3NvbiwgSC4gQy48L2F1dGhvcj48YXV0
aG9yPlRpcHNvcmQsIEouPC9hdXRob3I+PGF1dGhvcj5Tb25nLCBNLjwvYXV0aG9yPjxhdXRob3I+
Tm91c2VuLCBFLjwvYXV0aG9yPjxhdXRob3I+RGllY2ttYW5uLCBOLjwvYXV0aG9yPjxhdXRob3I+
TmlnZywgSi4gVC48L2F1dGhvcj48L2F1dGhvcnM+PC9jb250cmlidXRvcnM+PGF1dGgtYWRkcmVz
cz5EZXBhcnRtZW50IG9mIFBzeWNoaWF0cnksIE9yZWdvbiBIZWFsdGggJmFtcDsgU2NpZW5jZSBV
bml2ZXJzaXR5LCBQb3J0bGFuZCwgT1IsIDk3MjM5LCBVU0EuJiN4RDtEZXBhcnRtZW50IG9mIFBz
eWNoaWF0cnksIE9yZWdvbiBIZWFsdGggJmFtcDsgU2NpZW5jZSBVbml2ZXJzaXR5LCBQb3J0bGFu
ZCwgT1IsIDk3MjM5LCBVU0EuIG5pZ2dqQG9oc3UuZWR1LjwvYXV0aC1hZGRyZXNzPjx0aXRsZXM+
PHRpdGxlPklzIHRoZSBBc3NvY2lhdGlvbiBvZiBBREhEIHdpdGggU29jaW8tRWNvbm9taWMgRGlz
YWR2YW50YWdlIEV4cGxhaW5lZCBieSBDaGlsZCBDb21vcmJpZCBFeHRlcm5hbGl6aW5nIFByb2Js
ZW1zIG9yIFBhcmVudCBBREhEPzwvdGl0bGU+PHNlY29uZGFyeS10aXRsZT5KIEFibm9ybSBDaGls
ZCBQc3ljaG9sPC9zZWNvbmRhcnktdGl0bGU+PC90aXRsZXM+PHBlcmlvZGljYWw+PGZ1bGwtdGl0
bGU+SiBBYm5vcm0gQ2hpbGQgUHN5Y2hvbDwvZnVsbC10aXRsZT48L3BlcmlvZGljYWw+PHBhZ2Vz
Pjk1MS05NjM8L3BhZ2VzPjx2b2x1bWU+NDY8L3ZvbHVtZT48bnVtYmVyPjU8L251bWJlcj48ZWRp
dGlvbj4yMDE3LzExLzEzPC9lZGl0aW9uPjxrZXl3b3Jkcz48a2V5d29yZD5BZG9sZXNjZW50PC9r
ZXl3b3JkPjxrZXl3b3JkPkF0dGVudGlvbiBEZWZpY2l0IERpc29yZGVyIHdpdGggSHlwZXJhY3Rp
dml0eS9lcGlkZW1pb2xvZ3k8L2tleXdvcmQ+PGtleXdvcmQ+QXR0ZW50aW9uIERlZmljaXQgYW5k
IERpc3J1cHRpdmUgQmVoYXZpb3IgRGlzb3JkZXJzLyplcGlkZW1pb2xvZ3k8L2tleXdvcmQ+PGtl
eXdvcmQ+Q2hpbGQ8L2tleXdvcmQ+PGtleXdvcmQ+Q2hpbGQgQmVoYXZpb3IgRGlzb3JkZXJzLypl
cGlkZW1pb2xvZ3k8L2tleXdvcmQ+PGtleXdvcmQ+Q2hpbGQgb2YgSW1wYWlyZWQgUGFyZW50cy8q
c3RhdGlzdGljcyAmYW1wOyBudW1lcmljYWwgZGF0YTwva2V5d29yZD48a2V5d29yZD5DaGlsZCwg
UHJlc2Nob29sPC9rZXl3b3JkPjxrZXl3b3JkPkNvbW9yYmlkaXR5PC9rZXl3b3JkPjxrZXl3b3Jk
PkZlbWFsZTwva2V5d29yZD48a2V5d29yZD5IdW1hbnM8L2tleXdvcmQ+PGtleXdvcmQ+TWFsZTwv
a2V5d29yZD48a2V5d29yZD5Nb2RlbHMsIFN0YXRpc3RpY2FsPC9rZXl3b3JkPjxrZXl3b3JkPlBv
dmVydHkvKnN0YXRpc3RpY3MgJmFtcDsgbnVtZXJpY2FsIGRhdGE8L2tleXdvcmQ+PGtleXdvcmQ+
KlNvY2lhbCBDbGFzczwva2V5d29yZD48a2V5d29yZD5WdWxuZXJhYmxlIFBvcHVsYXRpb25zL3N0
YXRpc3RpY3MgJmFtcDsgbnVtZXJpY2FsIGRhdGE8L2tleXdvcmQ+PGtleXdvcmQ+KmFkaGQ8L2tl
eXdvcmQ+PGtleXdvcmQ+KkF0dGVudGlvbiBkZWZpY2l0IGh5cGVyYWN0aXZpdHkgZGlzb3JkZXI8
L2tleXdvcmQ+PGtleXdvcmQ+KkNvbW9yYmlkaXR5PC9rZXl3b3JkPjxrZXl3b3JkPipuc2NoPC9r
ZXl3b3JkPjxrZXl3b3JkPipzZXM8L2tleXdvcmQ+PGtleXdvcmQ+KlNvY2lhbCBkaXNhZHZhbnRh
Z2U8L2tleXdvcmQ+PGtleXdvcmQ+KlNvY2lvZWNvbm9taWMgc3RhdHVzPC9rZXl3b3JkPjwva2V5
d29yZHM+PGRhdGVzPjx5ZWFyPjIwMTg8L3llYXI+PHB1Yi1kYXRlcz48ZGF0ZT5KdWw8L2RhdGU+
PC9wdWItZGF0ZXM+PC9kYXRlcz48aXNibj4xNTczLTI4MzUgKEVsZWN0cm9uaWMpJiN4RDswMDkx
LTA2MjcgKExpbmtpbmcpPC9pc2JuPjxhY2Nlc3Npb24tbnVtPjI5MTI4OTUzPC9hY2Nlc3Npb24t
bnVtPjx1cmxzPjxyZWxhdGVkLXVybHM+PHVybD5odHRwczovL3d3dy5uY2JpLm5sbS5uaWguZ292
L3B1Ym1lZC8yOTEyODk1MzwvdXJsPjwvcmVsYXRlZC11cmxzPjwvdXJscz48Y3VzdG9tMj5QTUM1
OTQ4MTIwPC9jdXN0b20yPjxlbGVjdHJvbmljLXJlc291cmNlLW51bT4xMC4xMDA3L3MxMDgwMi0w
MTctMDM1Ni04PC9lbGVjdHJvbmljLXJlc291cmNlLW51bT48L3JlY29yZD48L0NpdGU+PC9FbmRO
b3RlPn==
</w:fldData>
        </w:fldChar>
      </w:r>
      <w:r w:rsidRPr="00FA68B1">
        <w:rPr>
          <w:rFonts w:ascii="Arial" w:hAnsi="Arial" w:cs="Arial"/>
          <w:sz w:val="22"/>
          <w:szCs w:val="22"/>
        </w:rPr>
        <w:instrText xml:space="preserve"> ADDIN EN.CITE </w:instrText>
      </w:r>
      <w:r w:rsidRPr="00FA68B1">
        <w:rPr>
          <w:rFonts w:ascii="Arial" w:hAnsi="Arial" w:cs="Arial"/>
          <w:sz w:val="22"/>
          <w:szCs w:val="22"/>
        </w:rPr>
        <w:fldChar w:fldCharType="begin">
          <w:fldData xml:space="preserve">PEVuZE5vdGU+PENpdGU+PEF1dGhvcj5NaWxsZXI8L0F1dGhvcj48WWVhcj4yMDE4PC9ZZWFyPjxS
ZWNOdW0+MjQyPC9SZWNOdW0+PERpc3BsYXlUZXh0PigxMSk8L0Rpc3BsYXlUZXh0PjxyZWNvcmQ+
PHJlYy1udW1iZXI+MjQyPC9yZWMtbnVtYmVyPjxmb3JlaWduLWtleXM+PGtleSBhcHA9IkVOIiBk
Yi1pZD0icHY5cnNwMmVkdHN0ejBlczlmOHgwd2VwZXJ2dnRyMHh6dzkwIiB0aW1lc3RhbXA9IjE1
NjQxNjk3NzIiPjI0Mjwva2V5PjwvZm9yZWlnbi1rZXlzPjxyZWYtdHlwZSBuYW1lPSJKb3VybmFs
IEFydGljbGUiPjE3PC9yZWYtdHlwZT48Y29udHJpYnV0b3JzPjxhdXRob3JzPjxhdXRob3I+TWls
bGVyLCBMLiBMLjwvYXV0aG9yPjxhdXRob3I+R3VzdGFmc3NvbiwgSC4gQy48L2F1dGhvcj48YXV0
aG9yPlRpcHNvcmQsIEouPC9hdXRob3I+PGF1dGhvcj5Tb25nLCBNLjwvYXV0aG9yPjxhdXRob3I+
Tm91c2VuLCBFLjwvYXV0aG9yPjxhdXRob3I+RGllY2ttYW5uLCBOLjwvYXV0aG9yPjxhdXRob3I+
TmlnZywgSi4gVC48L2F1dGhvcj48L2F1dGhvcnM+PC9jb250cmlidXRvcnM+PGF1dGgtYWRkcmVz
cz5EZXBhcnRtZW50IG9mIFBzeWNoaWF0cnksIE9yZWdvbiBIZWFsdGggJmFtcDsgU2NpZW5jZSBV
bml2ZXJzaXR5LCBQb3J0bGFuZCwgT1IsIDk3MjM5LCBVU0EuJiN4RDtEZXBhcnRtZW50IG9mIFBz
eWNoaWF0cnksIE9yZWdvbiBIZWFsdGggJmFtcDsgU2NpZW5jZSBVbml2ZXJzaXR5LCBQb3J0bGFu
ZCwgT1IsIDk3MjM5LCBVU0EuIG5pZ2dqQG9oc3UuZWR1LjwvYXV0aC1hZGRyZXNzPjx0aXRsZXM+
PHRpdGxlPklzIHRoZSBBc3NvY2lhdGlvbiBvZiBBREhEIHdpdGggU29jaW8tRWNvbm9taWMgRGlz
YWR2YW50YWdlIEV4cGxhaW5lZCBieSBDaGlsZCBDb21vcmJpZCBFeHRlcm5hbGl6aW5nIFByb2Js
ZW1zIG9yIFBhcmVudCBBREhEPzwvdGl0bGU+PHNlY29uZGFyeS10aXRsZT5KIEFibm9ybSBDaGls
ZCBQc3ljaG9sPC9zZWNvbmRhcnktdGl0bGU+PC90aXRsZXM+PHBlcmlvZGljYWw+PGZ1bGwtdGl0
bGU+SiBBYm5vcm0gQ2hpbGQgUHN5Y2hvbDwvZnVsbC10aXRsZT48L3BlcmlvZGljYWw+PHBhZ2Vz
Pjk1MS05NjM8L3BhZ2VzPjx2b2x1bWU+NDY8L3ZvbHVtZT48bnVtYmVyPjU8L251bWJlcj48ZWRp
dGlvbj4yMDE3LzExLzEzPC9lZGl0aW9uPjxrZXl3b3Jkcz48a2V5d29yZD5BZG9sZXNjZW50PC9r
ZXl3b3JkPjxrZXl3b3JkPkF0dGVudGlvbiBEZWZpY2l0IERpc29yZGVyIHdpdGggSHlwZXJhY3Rp
dml0eS9lcGlkZW1pb2xvZ3k8L2tleXdvcmQ+PGtleXdvcmQ+QXR0ZW50aW9uIERlZmljaXQgYW5k
IERpc3J1cHRpdmUgQmVoYXZpb3IgRGlzb3JkZXJzLyplcGlkZW1pb2xvZ3k8L2tleXdvcmQ+PGtl
eXdvcmQ+Q2hpbGQ8L2tleXdvcmQ+PGtleXdvcmQ+Q2hpbGQgQmVoYXZpb3IgRGlzb3JkZXJzLypl
cGlkZW1pb2xvZ3k8L2tleXdvcmQ+PGtleXdvcmQ+Q2hpbGQgb2YgSW1wYWlyZWQgUGFyZW50cy8q
c3RhdGlzdGljcyAmYW1wOyBudW1lcmljYWwgZGF0YTwva2V5d29yZD48a2V5d29yZD5DaGlsZCwg
UHJlc2Nob29sPC9rZXl3b3JkPjxrZXl3b3JkPkNvbW9yYmlkaXR5PC9rZXl3b3JkPjxrZXl3b3Jk
PkZlbWFsZTwva2V5d29yZD48a2V5d29yZD5IdW1hbnM8L2tleXdvcmQ+PGtleXdvcmQ+TWFsZTwv
a2V5d29yZD48a2V5d29yZD5Nb2RlbHMsIFN0YXRpc3RpY2FsPC9rZXl3b3JkPjxrZXl3b3JkPlBv
dmVydHkvKnN0YXRpc3RpY3MgJmFtcDsgbnVtZXJpY2FsIGRhdGE8L2tleXdvcmQ+PGtleXdvcmQ+
KlNvY2lhbCBDbGFzczwva2V5d29yZD48a2V5d29yZD5WdWxuZXJhYmxlIFBvcHVsYXRpb25zL3N0
YXRpc3RpY3MgJmFtcDsgbnVtZXJpY2FsIGRhdGE8L2tleXdvcmQ+PGtleXdvcmQ+KmFkaGQ8L2tl
eXdvcmQ+PGtleXdvcmQ+KkF0dGVudGlvbiBkZWZpY2l0IGh5cGVyYWN0aXZpdHkgZGlzb3JkZXI8
L2tleXdvcmQ+PGtleXdvcmQ+KkNvbW9yYmlkaXR5PC9rZXl3b3JkPjxrZXl3b3JkPipuc2NoPC9r
ZXl3b3JkPjxrZXl3b3JkPipzZXM8L2tleXdvcmQ+PGtleXdvcmQ+KlNvY2lhbCBkaXNhZHZhbnRh
Z2U8L2tleXdvcmQ+PGtleXdvcmQ+KlNvY2lvZWNvbm9taWMgc3RhdHVzPC9rZXl3b3JkPjwva2V5
d29yZHM+PGRhdGVzPjx5ZWFyPjIwMTg8L3llYXI+PHB1Yi1kYXRlcz48ZGF0ZT5KdWw8L2RhdGU+
PC9wdWItZGF0ZXM+PC9kYXRlcz48aXNibj4xNTczLTI4MzUgKEVsZWN0cm9uaWMpJiN4RDswMDkx
LTA2MjcgKExpbmtpbmcpPC9pc2JuPjxhY2Nlc3Npb24tbnVtPjI5MTI4OTUzPC9hY2Nlc3Npb24t
bnVtPjx1cmxzPjxyZWxhdGVkLXVybHM+PHVybD5odHRwczovL3d3dy5uY2JpLm5sbS5uaWguZ292
L3B1Ym1lZC8yOTEyODk1MzwvdXJsPjwvcmVsYXRlZC11cmxzPjwvdXJscz48Y3VzdG9tMj5QTUM1
OTQ4MTIwPC9jdXN0b20yPjxlbGVjdHJvbmljLXJlc291cmNlLW51bT4xMC4xMDA3L3MxMDgwMi0w
MTctMDM1Ni04PC9lbGVjdHJvbmljLXJlc291cmNlLW51bT48L3JlY29yZD48L0NpdGU+PC9FbmRO
b3RlPn==
</w:fldData>
        </w:fldChar>
      </w:r>
      <w:r w:rsidRPr="00FA68B1">
        <w:rPr>
          <w:rFonts w:ascii="Arial" w:hAnsi="Arial" w:cs="Arial"/>
          <w:sz w:val="22"/>
          <w:szCs w:val="22"/>
        </w:rPr>
        <w:instrText xml:space="preserve"> ADDIN EN.CITE.DATA </w:instrText>
      </w:r>
      <w:r w:rsidRPr="00FA68B1">
        <w:rPr>
          <w:rFonts w:ascii="Arial" w:hAnsi="Arial" w:cs="Arial"/>
          <w:sz w:val="22"/>
          <w:szCs w:val="22"/>
        </w:rPr>
      </w:r>
      <w:r w:rsidRPr="00FA68B1">
        <w:rPr>
          <w:rFonts w:ascii="Arial" w:hAnsi="Arial" w:cs="Arial"/>
          <w:sz w:val="22"/>
          <w:szCs w:val="22"/>
        </w:rPr>
        <w:fldChar w:fldCharType="end"/>
      </w:r>
      <w:r w:rsidRPr="00FA68B1">
        <w:rPr>
          <w:rFonts w:ascii="Arial" w:hAnsi="Arial" w:cs="Arial"/>
          <w:sz w:val="22"/>
          <w:szCs w:val="22"/>
        </w:rPr>
      </w:r>
      <w:r w:rsidRPr="00FA68B1">
        <w:rPr>
          <w:rFonts w:ascii="Arial" w:hAnsi="Arial" w:cs="Arial"/>
          <w:sz w:val="22"/>
          <w:szCs w:val="22"/>
        </w:rPr>
        <w:fldChar w:fldCharType="separate"/>
      </w:r>
      <w:r w:rsidRPr="00FA68B1">
        <w:rPr>
          <w:rFonts w:ascii="Arial" w:hAnsi="Arial" w:cs="Arial"/>
          <w:noProof/>
          <w:sz w:val="22"/>
          <w:szCs w:val="22"/>
        </w:rPr>
        <w:t>(11)</w:t>
      </w:r>
      <w:r w:rsidRPr="00FA68B1">
        <w:rPr>
          <w:rFonts w:ascii="Arial" w:hAnsi="Arial" w:cs="Arial"/>
          <w:sz w:val="22"/>
          <w:szCs w:val="22"/>
        </w:rPr>
        <w:fldChar w:fldCharType="end"/>
      </w:r>
      <w:r w:rsidRPr="00FA68B1">
        <w:rPr>
          <w:rFonts w:ascii="Arial" w:hAnsi="Arial" w:cs="Arial"/>
          <w:sz w:val="22"/>
          <w:szCs w:val="22"/>
        </w:rPr>
        <w:t xml:space="preserve">). For that cohort, families were recruited for a case-control study of ADHD and non-ADHD, by soliciting community volunteers with public advertisements and mass mailings using commercial mailing lists. The local Institutional Review Board approved the studies. Parents provided written informed consent; children provided written informed assent. All families completed a full multi-informant, multi-method screening process to establish eligibility and diagnostic group assignment for ADHD, non-ADHD, as well as comorbid disorders. </w:t>
      </w:r>
    </w:p>
    <w:p w14:paraId="66789371" w14:textId="77777777" w:rsidR="0022579F" w:rsidRPr="00FA68B1" w:rsidRDefault="0022579F" w:rsidP="0022579F">
      <w:pPr>
        <w:pStyle w:val="BodyText"/>
        <w:widowControl w:val="0"/>
        <w:spacing w:after="0" w:line="480" w:lineRule="auto"/>
        <w:ind w:firstLine="720"/>
        <w:rPr>
          <w:rFonts w:ascii="Arial" w:hAnsi="Arial" w:cs="Arial"/>
          <w:sz w:val="22"/>
          <w:szCs w:val="22"/>
        </w:rPr>
      </w:pPr>
      <w:r w:rsidRPr="00FA68B1">
        <w:rPr>
          <w:rFonts w:ascii="Arial" w:hAnsi="Arial" w:cs="Arial"/>
          <w:sz w:val="22"/>
          <w:szCs w:val="22"/>
        </w:rPr>
        <w:t>After screening, the research team conducted a diagnostic evaluation using standardized, well-normed rating scales from parents and teachers, parent semi-structured clinical interview, child intellectual testing, and clinical observation. Best-estimate research diagnoses and final eligibility were established by a team of two experienced clinicians (a child psychiatrist and a child psychologist), who independently assigned final diagnoses and comorbid disorders including ADHD, ODD, and any lifetime mood disorder (major depression, dysthymia, or other), as reported herein. History of seizures or head injury, parent–teacher rating discrepancy making diagnosis uncertain, psychosis, mania, current major depressive episode, Tourette’s syndrome, autism, and IQ&lt;80 were a basis for exclusion in the present study</w:t>
      </w:r>
      <w:r>
        <w:rPr>
          <w:rFonts w:ascii="Arial" w:hAnsi="Arial" w:cs="Arial"/>
          <w:sz w:val="22"/>
          <w:szCs w:val="22"/>
        </w:rPr>
        <w:t xml:space="preserve"> (Full </w:t>
      </w:r>
      <w:r w:rsidRPr="00FA68B1">
        <w:rPr>
          <w:rFonts w:ascii="Arial" w:hAnsi="Arial" w:cs="Arial"/>
          <w:sz w:val="22"/>
          <w:szCs w:val="22"/>
        </w:rPr>
        <w:t>recruitment details</w:t>
      </w:r>
      <w:r>
        <w:rPr>
          <w:rFonts w:ascii="Arial" w:hAnsi="Arial" w:cs="Arial"/>
          <w:sz w:val="22"/>
          <w:szCs w:val="22"/>
        </w:rPr>
        <w:t xml:space="preserve"> available</w:t>
      </w:r>
      <w:r w:rsidRPr="00FA68B1">
        <w:rPr>
          <w:rFonts w:ascii="Arial" w:hAnsi="Arial" w:cs="Arial"/>
          <w:sz w:val="22"/>
          <w:szCs w:val="22"/>
        </w:rPr>
        <w:t xml:space="preserve"> in </w:t>
      </w:r>
      <w:r>
        <w:rPr>
          <w:rFonts w:ascii="Arial" w:hAnsi="Arial" w:cs="Arial"/>
          <w:sz w:val="22"/>
          <w:szCs w:val="22"/>
        </w:rPr>
        <w:t>Supplementary Data 1</w:t>
      </w:r>
      <w:r w:rsidRPr="00FA68B1">
        <w:rPr>
          <w:rFonts w:ascii="Arial" w:hAnsi="Arial" w:cs="Arial"/>
          <w:sz w:val="22"/>
          <w:szCs w:val="22"/>
        </w:rPr>
        <w:t>).</w:t>
      </w:r>
    </w:p>
    <w:p w14:paraId="3ABD3D3A" w14:textId="77777777" w:rsidR="0022579F" w:rsidRPr="00FA68B1" w:rsidRDefault="0022579F" w:rsidP="0022579F">
      <w:pPr>
        <w:spacing w:line="480" w:lineRule="auto"/>
        <w:ind w:firstLine="720"/>
        <w:rPr>
          <w:rFonts w:ascii="Arial" w:hAnsi="Arial" w:cs="Arial"/>
          <w:sz w:val="22"/>
          <w:szCs w:val="22"/>
        </w:rPr>
      </w:pPr>
      <w:r w:rsidRPr="00FA68B1">
        <w:rPr>
          <w:rFonts w:ascii="Arial" w:hAnsi="Arial" w:cs="Arial"/>
          <w:sz w:val="22"/>
          <w:szCs w:val="22"/>
        </w:rPr>
        <w:t xml:space="preserve">From 2144 volunteers, 850 eligible children were identified. The group used in the current study were a subset </w:t>
      </w:r>
      <w:r>
        <w:rPr>
          <w:rFonts w:ascii="Arial" w:hAnsi="Arial" w:cs="Arial"/>
          <w:sz w:val="22"/>
          <w:szCs w:val="22"/>
        </w:rPr>
        <w:t>selected because they</w:t>
      </w:r>
      <w:r w:rsidRPr="00FA68B1">
        <w:rPr>
          <w:rFonts w:ascii="Arial" w:hAnsi="Arial" w:cs="Arial"/>
          <w:sz w:val="22"/>
          <w:szCs w:val="22"/>
        </w:rPr>
        <w:t xml:space="preserve"> (a) clearly met DSM criteria for ADHD or non-ADHD comparison group (rather than subthreshold), (b) </w:t>
      </w:r>
      <w:r>
        <w:rPr>
          <w:rFonts w:ascii="Arial" w:hAnsi="Arial" w:cs="Arial"/>
          <w:sz w:val="22"/>
          <w:szCs w:val="22"/>
        </w:rPr>
        <w:t xml:space="preserve">had </w:t>
      </w:r>
      <w:r w:rsidRPr="00FA68B1">
        <w:rPr>
          <w:rFonts w:ascii="Arial" w:hAnsi="Arial" w:cs="Arial"/>
          <w:sz w:val="22"/>
          <w:szCs w:val="22"/>
        </w:rPr>
        <w:t xml:space="preserve">no prior history of psychiatric medication, (c) </w:t>
      </w:r>
      <w:r>
        <w:rPr>
          <w:rFonts w:ascii="Arial" w:hAnsi="Arial" w:cs="Arial"/>
          <w:sz w:val="22"/>
          <w:szCs w:val="22"/>
        </w:rPr>
        <w:t xml:space="preserve">were </w:t>
      </w:r>
      <w:r w:rsidRPr="00FA68B1">
        <w:rPr>
          <w:rFonts w:ascii="Arial" w:hAnsi="Arial" w:cs="Arial"/>
          <w:sz w:val="22"/>
          <w:szCs w:val="22"/>
        </w:rPr>
        <w:t xml:space="preserve">Tanner stage 1 or 2 by parent report on the Pubertal Development Questionnaire, (d) </w:t>
      </w:r>
      <w:r>
        <w:rPr>
          <w:rFonts w:ascii="Arial" w:hAnsi="Arial" w:cs="Arial"/>
          <w:sz w:val="22"/>
          <w:szCs w:val="22"/>
        </w:rPr>
        <w:t xml:space="preserve">were </w:t>
      </w:r>
      <w:r w:rsidRPr="00FA68B1">
        <w:rPr>
          <w:rFonts w:ascii="Arial" w:hAnsi="Arial" w:cs="Arial"/>
          <w:sz w:val="22"/>
          <w:szCs w:val="22"/>
        </w:rPr>
        <w:t xml:space="preserve">not a sibling of another child in the cohort; </w:t>
      </w:r>
      <w:r>
        <w:rPr>
          <w:rFonts w:ascii="Arial" w:hAnsi="Arial" w:cs="Arial"/>
          <w:sz w:val="22"/>
          <w:szCs w:val="22"/>
        </w:rPr>
        <w:t xml:space="preserve">and, </w:t>
      </w:r>
      <w:r w:rsidRPr="00FA68B1">
        <w:rPr>
          <w:rFonts w:ascii="Arial" w:hAnsi="Arial" w:cs="Arial"/>
          <w:sz w:val="22"/>
          <w:szCs w:val="22"/>
        </w:rPr>
        <w:t>(</w:t>
      </w:r>
      <w:proofErr w:type="spellStart"/>
      <w:r w:rsidRPr="00FA68B1">
        <w:rPr>
          <w:rFonts w:ascii="Arial" w:hAnsi="Arial" w:cs="Arial"/>
          <w:sz w:val="22"/>
          <w:szCs w:val="22"/>
        </w:rPr>
        <w:t>e</w:t>
      </w:r>
      <w:proofErr w:type="spellEnd"/>
      <w:r w:rsidRPr="00FA68B1">
        <w:rPr>
          <w:rFonts w:ascii="Arial" w:hAnsi="Arial" w:cs="Arial"/>
          <w:sz w:val="22"/>
          <w:szCs w:val="22"/>
        </w:rPr>
        <w:t xml:space="preserve">) </w:t>
      </w:r>
      <w:r>
        <w:rPr>
          <w:rFonts w:ascii="Arial" w:hAnsi="Arial" w:cs="Arial"/>
          <w:sz w:val="22"/>
          <w:szCs w:val="22"/>
        </w:rPr>
        <w:t xml:space="preserve">were </w:t>
      </w:r>
      <w:r w:rsidRPr="00FA68B1">
        <w:rPr>
          <w:rFonts w:ascii="Arial" w:hAnsi="Arial" w:cs="Arial"/>
          <w:sz w:val="22"/>
          <w:szCs w:val="22"/>
        </w:rPr>
        <w:t xml:space="preserve">willing to give a blood sample. This process provided a set of non-twin case-controls (n=48: 24 ADHD, 24 controls) for whom Paxgene-stabilized, frozen blood samples were submitted for RNA </w:t>
      </w:r>
      <w:r w:rsidRPr="00FA68B1">
        <w:rPr>
          <w:rFonts w:ascii="Arial" w:hAnsi="Arial" w:cs="Arial"/>
          <w:sz w:val="22"/>
          <w:szCs w:val="22"/>
        </w:rPr>
        <w:lastRenderedPageBreak/>
        <w:t>sequencing.</w:t>
      </w:r>
      <w:r>
        <w:rPr>
          <w:rFonts w:ascii="Arial" w:hAnsi="Arial" w:cs="Arial"/>
          <w:sz w:val="22"/>
          <w:szCs w:val="22"/>
        </w:rPr>
        <w:t xml:space="preserve">  After RNA sequencing, 23 ADHD and 21 case controls were available, as described in Table 1.</w:t>
      </w:r>
    </w:p>
    <w:p w14:paraId="08E2B87C" w14:textId="77777777" w:rsidR="0022579F" w:rsidRPr="00FA68B1" w:rsidRDefault="0022579F" w:rsidP="0022579F">
      <w:pPr>
        <w:widowControl w:val="0"/>
        <w:spacing w:after="120" w:line="480" w:lineRule="auto"/>
        <w:ind w:firstLine="720"/>
        <w:rPr>
          <w:rFonts w:ascii="Arial" w:hAnsi="Arial" w:cs="Arial"/>
          <w:sz w:val="22"/>
          <w:szCs w:val="22"/>
        </w:rPr>
      </w:pPr>
      <w:r w:rsidRPr="00FA68B1">
        <w:rPr>
          <w:rFonts w:ascii="Arial" w:hAnsi="Arial" w:cs="Arial"/>
          <w:b/>
          <w:sz w:val="22"/>
          <w:szCs w:val="22"/>
        </w:rPr>
        <w:t>Twins.</w:t>
      </w:r>
      <w:r w:rsidRPr="00FA68B1">
        <w:rPr>
          <w:rFonts w:ascii="Arial" w:hAnsi="Arial" w:cs="Arial"/>
          <w:sz w:val="22"/>
          <w:szCs w:val="22"/>
        </w:rPr>
        <w:t xml:space="preserve"> Twins were recruited from the Michigan State University Twin Registry </w:t>
      </w:r>
      <w:r w:rsidRPr="00FA68B1">
        <w:rPr>
          <w:rFonts w:ascii="Arial" w:hAnsi="Arial" w:cs="Arial"/>
          <w:sz w:val="22"/>
          <w:szCs w:val="22"/>
        </w:rPr>
        <w:fldChar w:fldCharType="begin"/>
      </w:r>
      <w:r w:rsidRPr="00FA68B1">
        <w:rPr>
          <w:rFonts w:ascii="Arial" w:hAnsi="Arial" w:cs="Arial"/>
          <w:sz w:val="22"/>
          <w:szCs w:val="22"/>
        </w:rPr>
        <w:instrText xml:space="preserve"> ADDIN EN.CITE &lt;EndNote&gt;&lt;Cite&gt;&lt;Author&gt;Burt&lt;/Author&gt;&lt;Year&gt;2013&lt;/Year&gt;&lt;RecNum&gt;231&lt;/RecNum&gt;&lt;DisplayText&gt;(12)&lt;/DisplayText&gt;&lt;record&gt;&lt;rec-number&gt;231&lt;/rec-number&gt;&lt;foreign-keys&gt;&lt;key app="EN" db-id="pv9rsp2edtstz0es9f8x0wepervvtr0xzw90" timestamp="1564167853"&gt;231&lt;/key&gt;&lt;/foreign-keys&gt;&lt;ref-type name="Journal Article"&gt;17&lt;/ref-type&gt;&lt;contributors&gt;&lt;authors&gt;&lt;author&gt;Burt, S. A.&lt;/author&gt;&lt;author&gt;Klump, K. L.&lt;/author&gt;&lt;/authors&gt;&lt;/contributors&gt;&lt;auth-address&gt;Department of Psychology, Michigan State University, East Lansing, MI, USA. burts@msu.edu&lt;/auth-address&gt;&lt;titles&gt;&lt;title&gt;The Michigan State University Twin Registry (MSUTR): an update&lt;/title&gt;&lt;secondary-title&gt;Twin Res Hum Genet&lt;/secondary-title&gt;&lt;/titles&gt;&lt;periodical&gt;&lt;full-title&gt;Twin Res Hum Genet&lt;/full-title&gt;&lt;/periodical&gt;&lt;pages&gt;344-50&lt;/pages&gt;&lt;volume&gt;16&lt;/volume&gt;&lt;number&gt;1&lt;/number&gt;&lt;edition&gt;2012/10/30&lt;/edition&gt;&lt;keywords&gt;&lt;keyword&gt;Adolescent&lt;/keyword&gt;&lt;keyword&gt;Adult&lt;/keyword&gt;&lt;keyword&gt;Biomarkers/analysis&lt;/keyword&gt;&lt;keyword&gt;Child&lt;/keyword&gt;&lt;keyword&gt;Child, Preschool&lt;/keyword&gt;&lt;keyword&gt;Cohort Studies&lt;/keyword&gt;&lt;keyword&gt;Diseases in Twins/*epidemiology/genetics/psychology&lt;/keyword&gt;&lt;keyword&gt;Female&lt;/keyword&gt;&lt;keyword&gt;Gene-Environment Interaction&lt;/keyword&gt;&lt;keyword&gt;*Genetics, Behavioral&lt;/keyword&gt;&lt;keyword&gt;Humans&lt;/keyword&gt;&lt;keyword&gt;Male&lt;/keyword&gt;&lt;keyword&gt;Mental Disorders/*epidemiology/genetics/psychology&lt;/keyword&gt;&lt;keyword&gt;Michigan/epidemiology&lt;/keyword&gt;&lt;keyword&gt;*Registries&lt;/keyword&gt;&lt;keyword&gt;Risk Factors&lt;/keyword&gt;&lt;keyword&gt;Twins, Dizygotic/*genetics/statistics &amp;amp; numerical data&lt;/keyword&gt;&lt;keyword&gt;Twins, Monozygotic/*genetics/statistics &amp;amp; numerical data&lt;/keyword&gt;&lt;keyword&gt;Young Adult&lt;/keyword&gt;&lt;/keywords&gt;&lt;dates&gt;&lt;year&gt;2013&lt;/year&gt;&lt;pub-dates&gt;&lt;date&gt;Feb&lt;/date&gt;&lt;/pub-dates&gt;&lt;/dates&gt;&lt;isbn&gt;1832-4274 (Print)&amp;#xD;1832-4274 (Linking)&lt;/isbn&gt;&lt;accession-num&gt;23101567&lt;/accession-num&gt;&lt;urls&gt;&lt;related-urls&gt;&lt;url&gt;https://www.ncbi.nlm.nih.gov/pubmed/23101567&lt;/url&gt;&lt;/related-urls&gt;&lt;/urls&gt;&lt;custom2&gt;PMC5800311&lt;/custom2&gt;&lt;electronic-resource-num&gt;10.1017/thg.2012.87&lt;/electronic-resource-num&gt;&lt;/record&gt;&lt;/Cite&gt;&lt;/EndNote&gt;</w:instrText>
      </w:r>
      <w:r w:rsidRPr="00FA68B1">
        <w:rPr>
          <w:rFonts w:ascii="Arial" w:hAnsi="Arial" w:cs="Arial"/>
          <w:sz w:val="22"/>
          <w:szCs w:val="22"/>
        </w:rPr>
        <w:fldChar w:fldCharType="separate"/>
      </w:r>
      <w:r w:rsidRPr="00FA68B1">
        <w:rPr>
          <w:rFonts w:ascii="Arial" w:hAnsi="Arial" w:cs="Arial"/>
          <w:noProof/>
          <w:sz w:val="22"/>
          <w:szCs w:val="22"/>
        </w:rPr>
        <w:t>(12)</w:t>
      </w:r>
      <w:r w:rsidRPr="00FA68B1">
        <w:rPr>
          <w:rFonts w:ascii="Arial" w:hAnsi="Arial" w:cs="Arial"/>
          <w:sz w:val="22"/>
          <w:szCs w:val="22"/>
        </w:rPr>
        <w:fldChar w:fldCharType="end"/>
      </w:r>
      <w:r w:rsidRPr="00FA68B1">
        <w:rPr>
          <w:rFonts w:ascii="Arial" w:hAnsi="Arial" w:cs="Arial"/>
          <w:sz w:val="22"/>
          <w:szCs w:val="22"/>
        </w:rPr>
        <w:t>. The registry</w:t>
      </w:r>
      <w:r>
        <w:rPr>
          <w:rFonts w:ascii="Arial" w:hAnsi="Arial" w:cs="Arial"/>
          <w:sz w:val="22"/>
          <w:szCs w:val="22"/>
        </w:rPr>
        <w:t xml:space="preserve"> has almost 30,000 twin pairs</w:t>
      </w:r>
      <w:r w:rsidRPr="00FA68B1">
        <w:rPr>
          <w:rFonts w:ascii="Arial" w:hAnsi="Arial" w:cs="Arial"/>
          <w:sz w:val="22"/>
          <w:szCs w:val="22"/>
        </w:rPr>
        <w:t xml:space="preserve"> of all ages. For the current study, recruitment was carried out via </w:t>
      </w:r>
      <w:r w:rsidRPr="00FA68B1">
        <w:rPr>
          <w:rFonts w:ascii="Arial" w:hAnsi="Arial" w:cs="Arial"/>
          <w:spacing w:val="2"/>
          <w:sz w:val="22"/>
          <w:szCs w:val="22"/>
          <w:shd w:val="clear" w:color="auto" w:fill="FCFCFC"/>
        </w:rPr>
        <w:t>anonymous mailings to all identical (monozygotic, MZ) twin families with twins age 7-17 years old. Volunteering families were then screened to identify</w:t>
      </w:r>
      <w:r w:rsidRPr="00FA68B1">
        <w:rPr>
          <w:rFonts w:ascii="Arial" w:hAnsi="Arial" w:cs="Arial"/>
          <w:sz w:val="22"/>
          <w:szCs w:val="22"/>
        </w:rPr>
        <w:t xml:space="preserve"> sets of MZ twin pairs defined as (a) ADHD-discordant pairs, (b) equal numbers of unaffected and (c) affected concordant pairs. They were restricted for the current study to (a) never-medicated youth, (b) age 7-17 (it proved </w:t>
      </w:r>
      <w:r>
        <w:rPr>
          <w:rFonts w:ascii="Arial" w:hAnsi="Arial" w:cs="Arial"/>
          <w:sz w:val="22"/>
          <w:szCs w:val="22"/>
        </w:rPr>
        <w:t>impractical</w:t>
      </w:r>
      <w:r w:rsidRPr="00FA68B1">
        <w:rPr>
          <w:rFonts w:ascii="Arial" w:hAnsi="Arial" w:cs="Arial"/>
          <w:sz w:val="22"/>
          <w:szCs w:val="22"/>
        </w:rPr>
        <w:t xml:space="preserve"> to restrict </w:t>
      </w:r>
      <w:proofErr w:type="gramStart"/>
      <w:r w:rsidRPr="00FA68B1">
        <w:rPr>
          <w:rFonts w:ascii="Arial" w:hAnsi="Arial" w:cs="Arial"/>
          <w:sz w:val="22"/>
          <w:szCs w:val="22"/>
        </w:rPr>
        <w:t>to</w:t>
      </w:r>
      <w:proofErr w:type="gramEnd"/>
      <w:r w:rsidRPr="00FA68B1">
        <w:rPr>
          <w:rFonts w:ascii="Arial" w:hAnsi="Arial" w:cs="Arial"/>
          <w:sz w:val="22"/>
          <w:szCs w:val="22"/>
        </w:rPr>
        <w:t xml:space="preserve"> pre-pubertal due to the relative rarity of discordant pairs), (c) No major medical illness, autism, or neurological condition in the screen record (later confirmed by clinical interv</w:t>
      </w:r>
      <w:r>
        <w:rPr>
          <w:rFonts w:ascii="Arial" w:hAnsi="Arial" w:cs="Arial"/>
          <w:sz w:val="22"/>
          <w:szCs w:val="22"/>
        </w:rPr>
        <w:t>ie</w:t>
      </w:r>
      <w:r w:rsidRPr="00FA68B1">
        <w:rPr>
          <w:rFonts w:ascii="Arial" w:hAnsi="Arial" w:cs="Arial"/>
          <w:sz w:val="22"/>
          <w:szCs w:val="22"/>
        </w:rPr>
        <w:t>w), (d) believed to be MZ (la</w:t>
      </w:r>
      <w:r>
        <w:rPr>
          <w:rFonts w:ascii="Arial" w:hAnsi="Arial" w:cs="Arial"/>
          <w:sz w:val="22"/>
          <w:szCs w:val="22"/>
        </w:rPr>
        <w:t>ter confirmed by genotyping) (</w:t>
      </w:r>
      <w:proofErr w:type="spellStart"/>
      <w:r>
        <w:rPr>
          <w:rFonts w:ascii="Arial" w:hAnsi="Arial" w:cs="Arial"/>
          <w:sz w:val="22"/>
          <w:szCs w:val="22"/>
        </w:rPr>
        <w:t>e</w:t>
      </w:r>
      <w:proofErr w:type="spellEnd"/>
      <w:r w:rsidRPr="00FA68B1">
        <w:rPr>
          <w:rFonts w:ascii="Arial" w:hAnsi="Arial" w:cs="Arial"/>
          <w:sz w:val="22"/>
          <w:szCs w:val="22"/>
        </w:rPr>
        <w:t>) eligible for outreach (limited to accommodate multiple studies accessing the registry).</w:t>
      </w:r>
    </w:p>
    <w:p w14:paraId="7CCC1B6D" w14:textId="77777777" w:rsidR="0022579F" w:rsidRPr="00FA68B1" w:rsidRDefault="0022579F" w:rsidP="0022579F">
      <w:pPr>
        <w:widowControl w:val="0"/>
        <w:spacing w:after="120" w:line="480" w:lineRule="auto"/>
        <w:ind w:firstLine="720"/>
        <w:rPr>
          <w:rFonts w:ascii="Arial" w:hAnsi="Arial" w:cs="Arial"/>
          <w:sz w:val="22"/>
          <w:szCs w:val="22"/>
        </w:rPr>
      </w:pPr>
      <w:r w:rsidRPr="00FA68B1">
        <w:rPr>
          <w:rFonts w:ascii="Arial" w:hAnsi="Arial" w:cs="Arial"/>
          <w:spacing w:val="2"/>
          <w:sz w:val="22"/>
          <w:szCs w:val="22"/>
          <w:shd w:val="clear" w:color="auto" w:fill="FCFCFC"/>
        </w:rPr>
        <w:t>Those who responded</w:t>
      </w:r>
      <w:r>
        <w:rPr>
          <w:rFonts w:ascii="Arial" w:hAnsi="Arial" w:cs="Arial"/>
          <w:spacing w:val="2"/>
          <w:sz w:val="22"/>
          <w:szCs w:val="22"/>
          <w:shd w:val="clear" w:color="auto" w:fill="FCFCFC"/>
        </w:rPr>
        <w:t>,</w:t>
      </w:r>
      <w:r w:rsidRPr="00FA68B1">
        <w:rPr>
          <w:rFonts w:ascii="Arial" w:hAnsi="Arial" w:cs="Arial"/>
          <w:spacing w:val="2"/>
          <w:sz w:val="22"/>
          <w:szCs w:val="22"/>
          <w:shd w:val="clear" w:color="auto" w:fill="FCFCFC"/>
        </w:rPr>
        <w:t xml:space="preserve"> then completed a phone screen for eligibility and, if eligible, were scheduled for a home visit. At the home visit, a trained staff member completed a clinical interview, drew blood into an RNA Paxgene stabilizer tube, and collected saliva into a </w:t>
      </w:r>
      <w:proofErr w:type="spellStart"/>
      <w:r w:rsidRPr="00FA68B1">
        <w:rPr>
          <w:rFonts w:ascii="Arial" w:hAnsi="Arial" w:cs="Arial"/>
          <w:spacing w:val="2"/>
          <w:sz w:val="22"/>
          <w:szCs w:val="22"/>
          <w:shd w:val="clear" w:color="auto" w:fill="FCFCFC"/>
        </w:rPr>
        <w:t>Oragene</w:t>
      </w:r>
      <w:proofErr w:type="spellEnd"/>
      <w:r w:rsidRPr="00FA68B1">
        <w:rPr>
          <w:rFonts w:ascii="Arial" w:hAnsi="Arial" w:cs="Arial"/>
          <w:spacing w:val="2"/>
          <w:sz w:val="22"/>
          <w:szCs w:val="22"/>
          <w:shd w:val="clear" w:color="auto" w:fill="FCFCFC"/>
        </w:rPr>
        <w:t xml:space="preserve"> tube for DNA isolation. Self- and parent-report rating scales were also collected, as described below.  </w:t>
      </w:r>
    </w:p>
    <w:p w14:paraId="3D450F25" w14:textId="77777777" w:rsidR="0022579F" w:rsidRPr="00FA68B1" w:rsidRDefault="0022579F" w:rsidP="0022579F">
      <w:pPr>
        <w:widowControl w:val="0"/>
        <w:spacing w:after="120" w:line="480" w:lineRule="auto"/>
        <w:rPr>
          <w:rFonts w:ascii="Arial" w:hAnsi="Arial" w:cs="Arial"/>
          <w:sz w:val="22"/>
          <w:szCs w:val="22"/>
        </w:rPr>
      </w:pPr>
      <w:r>
        <w:rPr>
          <w:rFonts w:ascii="Arial" w:hAnsi="Arial" w:cs="Arial"/>
          <w:sz w:val="22"/>
          <w:szCs w:val="22"/>
        </w:rPr>
        <w:tab/>
        <w:t>The number of discordant pairs was limited by 2 major factors</w:t>
      </w:r>
      <w:r w:rsidRPr="00FA68B1">
        <w:rPr>
          <w:rFonts w:ascii="Arial" w:hAnsi="Arial" w:cs="Arial"/>
          <w:sz w:val="22"/>
          <w:szCs w:val="22"/>
        </w:rPr>
        <w:t xml:space="preserve"> (a) about 1/3 of twin births are monozygotic, (b) ADHD has high heritability, so discordant pairs are rare. The final samples available for statistical analysis after clinical screening, </w:t>
      </w:r>
      <w:r>
        <w:rPr>
          <w:rFonts w:ascii="Arial" w:hAnsi="Arial" w:cs="Arial"/>
          <w:sz w:val="22"/>
          <w:szCs w:val="22"/>
        </w:rPr>
        <w:t>RNA sequencing</w:t>
      </w:r>
      <w:r w:rsidRPr="00FA68B1">
        <w:rPr>
          <w:rFonts w:ascii="Arial" w:hAnsi="Arial" w:cs="Arial"/>
          <w:sz w:val="22"/>
          <w:szCs w:val="22"/>
        </w:rPr>
        <w:t xml:space="preserve">, and data quality checks is </w:t>
      </w:r>
      <w:r>
        <w:rPr>
          <w:rFonts w:ascii="Arial" w:hAnsi="Arial" w:cs="Arial"/>
          <w:sz w:val="22"/>
          <w:szCs w:val="22"/>
        </w:rPr>
        <w:t xml:space="preserve">shown </w:t>
      </w:r>
      <w:r w:rsidRPr="00FA68B1">
        <w:rPr>
          <w:rFonts w:ascii="Arial" w:hAnsi="Arial" w:cs="Arial"/>
          <w:sz w:val="22"/>
          <w:szCs w:val="22"/>
        </w:rPr>
        <w:t xml:space="preserve">in </w:t>
      </w:r>
      <w:r>
        <w:rPr>
          <w:rFonts w:ascii="Arial" w:hAnsi="Arial" w:cs="Arial"/>
          <w:sz w:val="22"/>
          <w:szCs w:val="22"/>
        </w:rPr>
        <w:t xml:space="preserve">Table 1. After </w:t>
      </w:r>
      <w:r w:rsidRPr="00FA68B1">
        <w:rPr>
          <w:rFonts w:ascii="Arial" w:hAnsi="Arial" w:cs="Arial"/>
          <w:sz w:val="22"/>
          <w:szCs w:val="22"/>
        </w:rPr>
        <w:t xml:space="preserve">RNA </w:t>
      </w:r>
      <w:r>
        <w:rPr>
          <w:rFonts w:ascii="Arial" w:hAnsi="Arial" w:cs="Arial"/>
          <w:sz w:val="22"/>
          <w:szCs w:val="22"/>
        </w:rPr>
        <w:t>sequencing, there were</w:t>
      </w:r>
      <w:r w:rsidRPr="00FA68B1">
        <w:rPr>
          <w:rFonts w:ascii="Arial" w:hAnsi="Arial" w:cs="Arial"/>
          <w:sz w:val="22"/>
          <w:szCs w:val="22"/>
        </w:rPr>
        <w:t xml:space="preserve"> 16 discordant</w:t>
      </w:r>
      <w:r>
        <w:rPr>
          <w:rFonts w:ascii="Arial" w:hAnsi="Arial" w:cs="Arial"/>
          <w:sz w:val="22"/>
          <w:szCs w:val="22"/>
        </w:rPr>
        <w:t xml:space="preserve"> pairs meeting quality control metrics for </w:t>
      </w:r>
      <w:r w:rsidRPr="00FA68B1">
        <w:rPr>
          <w:rFonts w:ascii="Arial" w:hAnsi="Arial" w:cs="Arial"/>
          <w:sz w:val="22"/>
          <w:szCs w:val="22"/>
        </w:rPr>
        <w:t>analy</w:t>
      </w:r>
      <w:r>
        <w:rPr>
          <w:rFonts w:ascii="Arial" w:hAnsi="Arial" w:cs="Arial"/>
          <w:sz w:val="22"/>
          <w:szCs w:val="22"/>
        </w:rPr>
        <w:t>sis</w:t>
      </w:r>
      <w:r w:rsidRPr="00FA68B1">
        <w:rPr>
          <w:rFonts w:ascii="Arial" w:hAnsi="Arial" w:cs="Arial"/>
          <w:sz w:val="22"/>
          <w:szCs w:val="22"/>
        </w:rPr>
        <w:t>.</w:t>
      </w:r>
    </w:p>
    <w:p w14:paraId="1D62E3AC" w14:textId="77777777" w:rsidR="0022579F" w:rsidRPr="00FA68B1" w:rsidRDefault="0022579F" w:rsidP="0022579F">
      <w:pPr>
        <w:widowControl w:val="0"/>
        <w:spacing w:after="120" w:line="480" w:lineRule="auto"/>
        <w:rPr>
          <w:rFonts w:ascii="Arial" w:hAnsi="Arial" w:cs="Arial"/>
          <w:sz w:val="22"/>
          <w:szCs w:val="22"/>
        </w:rPr>
      </w:pPr>
    </w:p>
    <w:p w14:paraId="75C5002B" w14:textId="77777777" w:rsidR="0022579F" w:rsidRDefault="0022579F" w:rsidP="0022579F">
      <w:pPr>
        <w:rPr>
          <w:rFonts w:ascii="Arial" w:hAnsi="Arial" w:cs="Arial"/>
          <w:b/>
          <w:sz w:val="22"/>
          <w:szCs w:val="22"/>
        </w:rPr>
      </w:pPr>
      <w:r>
        <w:rPr>
          <w:rFonts w:ascii="Arial" w:hAnsi="Arial" w:cs="Arial"/>
          <w:b/>
          <w:sz w:val="22"/>
          <w:szCs w:val="22"/>
        </w:rPr>
        <w:br w:type="page"/>
      </w:r>
    </w:p>
    <w:p w14:paraId="21A464CA" w14:textId="77777777" w:rsidR="0022579F" w:rsidRPr="00FA68B1" w:rsidRDefault="0022579F" w:rsidP="0022579F">
      <w:pPr>
        <w:spacing w:line="480" w:lineRule="auto"/>
        <w:rPr>
          <w:rFonts w:ascii="Arial" w:hAnsi="Arial" w:cs="Arial"/>
          <w:sz w:val="22"/>
          <w:szCs w:val="22"/>
        </w:rPr>
      </w:pPr>
      <w:r w:rsidRPr="00FA68B1">
        <w:rPr>
          <w:rFonts w:ascii="Arial" w:hAnsi="Arial" w:cs="Arial"/>
          <w:b/>
          <w:sz w:val="22"/>
          <w:szCs w:val="22"/>
        </w:rPr>
        <w:t>MEASURES</w:t>
      </w:r>
    </w:p>
    <w:p w14:paraId="3ABB53E7" w14:textId="77777777" w:rsidR="0022579F" w:rsidRPr="00FA68B1" w:rsidRDefault="0022579F" w:rsidP="0022579F">
      <w:pPr>
        <w:spacing w:line="480" w:lineRule="auto"/>
        <w:rPr>
          <w:rFonts w:ascii="Arial" w:hAnsi="Arial" w:cs="Arial"/>
          <w:sz w:val="22"/>
          <w:szCs w:val="22"/>
        </w:rPr>
      </w:pPr>
      <w:r w:rsidRPr="00FA68B1">
        <w:rPr>
          <w:rFonts w:ascii="Arial" w:hAnsi="Arial" w:cs="Arial"/>
          <w:sz w:val="22"/>
          <w:szCs w:val="22"/>
        </w:rPr>
        <w:tab/>
      </w:r>
      <w:r w:rsidRPr="00FA68B1">
        <w:rPr>
          <w:rFonts w:ascii="Arial" w:hAnsi="Arial" w:cs="Arial"/>
          <w:b/>
          <w:sz w:val="22"/>
          <w:szCs w:val="22"/>
        </w:rPr>
        <w:t>ADHD Evaluation</w:t>
      </w:r>
      <w:r w:rsidRPr="00FA68B1">
        <w:rPr>
          <w:rFonts w:ascii="Arial" w:hAnsi="Arial" w:cs="Arial"/>
          <w:sz w:val="22"/>
          <w:szCs w:val="22"/>
        </w:rPr>
        <w:t xml:space="preserve">. ADHD was evaluated by the following measures: parent completed the </w:t>
      </w:r>
      <w:proofErr w:type="spellStart"/>
      <w:r w:rsidRPr="00FA68B1">
        <w:rPr>
          <w:rFonts w:ascii="Arial" w:hAnsi="Arial" w:cs="Arial"/>
          <w:sz w:val="22"/>
          <w:szCs w:val="22"/>
        </w:rPr>
        <w:t>Conners</w:t>
      </w:r>
      <w:proofErr w:type="spellEnd"/>
      <w:r w:rsidRPr="00FA68B1">
        <w:rPr>
          <w:rFonts w:ascii="Arial" w:hAnsi="Arial" w:cs="Arial"/>
          <w:sz w:val="22"/>
          <w:szCs w:val="22"/>
        </w:rPr>
        <w:t>' Rating Scales-3</w:t>
      </w:r>
      <w:r w:rsidRPr="00FA68B1">
        <w:rPr>
          <w:rFonts w:ascii="Arial" w:hAnsi="Arial" w:cs="Arial"/>
          <w:sz w:val="22"/>
          <w:szCs w:val="22"/>
          <w:vertAlign w:val="superscript"/>
        </w:rPr>
        <w:t>rd</w:t>
      </w:r>
      <w:r w:rsidRPr="00FA68B1">
        <w:rPr>
          <w:rFonts w:ascii="Arial" w:hAnsi="Arial" w:cs="Arial"/>
          <w:sz w:val="22"/>
          <w:szCs w:val="22"/>
        </w:rPr>
        <w:t xml:space="preserve"> Edition short form </w:t>
      </w:r>
      <w:r w:rsidRPr="00FA68B1">
        <w:rPr>
          <w:rFonts w:ascii="Arial" w:hAnsi="Arial" w:cs="Arial"/>
          <w:sz w:val="22"/>
          <w:szCs w:val="22"/>
        </w:rPr>
        <w:fldChar w:fldCharType="begin"/>
      </w:r>
      <w:r w:rsidRPr="00FA68B1">
        <w:rPr>
          <w:rFonts w:ascii="Arial" w:hAnsi="Arial" w:cs="Arial"/>
          <w:sz w:val="22"/>
          <w:szCs w:val="22"/>
        </w:rPr>
        <w:instrText xml:space="preserve"> ADDIN EN.CITE &lt;EndNote&gt;&lt;Cite&gt;&lt;Author&gt;Conners&lt;/Author&gt;&lt;Year&gt;2003&lt;/Year&gt;&lt;RecNum&gt;232&lt;/RecNum&gt;&lt;DisplayText&gt;(13)&lt;/DisplayText&gt;&lt;record&gt;&lt;rec-number&gt;232&lt;/rec-number&gt;&lt;foreign-keys&gt;&lt;key app="EN" db-id="pv9rsp2edtstz0es9f8x0wepervvtr0xzw90" timestamp="1564168197"&gt;232&lt;/key&gt;&lt;/foreign-keys&gt;&lt;ref-type name="Generic"&gt;13&lt;/ref-type&gt;&lt;contributors&gt;&lt;authors&gt;&lt;author&gt;Conners, C.K.&lt;/author&gt;&lt;/authors&gt;&lt;/contributors&gt;&lt;titles&gt;&lt;title&gt;Conners’ rating scales: Revised technical manual.&lt;/title&gt;&lt;/titles&gt;&lt;dates&gt;&lt;year&gt;2003&lt;/year&gt;&lt;/dates&gt;&lt;pub-location&gt;New York, NY&lt;/pub-location&gt;&lt;publisher&gt;Multi-Health Systems&lt;/publisher&gt;&lt;urls&gt;&lt;/urls&gt;&lt;/record&gt;&lt;/Cite&gt;&lt;/EndNote&gt;</w:instrText>
      </w:r>
      <w:r w:rsidRPr="00FA68B1">
        <w:rPr>
          <w:rFonts w:ascii="Arial" w:hAnsi="Arial" w:cs="Arial"/>
          <w:sz w:val="22"/>
          <w:szCs w:val="22"/>
        </w:rPr>
        <w:fldChar w:fldCharType="separate"/>
      </w:r>
      <w:r w:rsidRPr="00FA68B1">
        <w:rPr>
          <w:rFonts w:ascii="Arial" w:hAnsi="Arial" w:cs="Arial"/>
          <w:noProof/>
          <w:sz w:val="22"/>
          <w:szCs w:val="22"/>
        </w:rPr>
        <w:t>(13)</w:t>
      </w:r>
      <w:r w:rsidRPr="00FA68B1">
        <w:rPr>
          <w:rFonts w:ascii="Arial" w:hAnsi="Arial" w:cs="Arial"/>
          <w:sz w:val="22"/>
          <w:szCs w:val="22"/>
        </w:rPr>
        <w:fldChar w:fldCharType="end"/>
      </w:r>
      <w:r w:rsidRPr="00FA68B1">
        <w:rPr>
          <w:rFonts w:ascii="Arial" w:hAnsi="Arial" w:cs="Arial"/>
          <w:sz w:val="22"/>
          <w:szCs w:val="22"/>
        </w:rPr>
        <w:t>; Strengths and Difficulties Questionnaire long form including the impairment module (</w:t>
      </w:r>
      <w:r w:rsidRPr="00FA68B1">
        <w:rPr>
          <w:rFonts w:ascii="Arial" w:hAnsi="Arial" w:cs="Arial"/>
          <w:sz w:val="22"/>
          <w:szCs w:val="22"/>
        </w:rPr>
        <w:fldChar w:fldCharType="begin">
          <w:fldData xml:space="preserve">PEVuZE5vdGU+PENpdGU+PEF1dGhvcj5Hb29kbWFuPC9BdXRob3I+PFllYXI+MjAwMTwvWWVhcj48
UmVjTnVtPjEwODk1PC9SZWNOdW0+PFByZWZpeD5TRFFgLCA8L1ByZWZpeD48RGlzcGxheVRleHQ+
KFNEUSwgMTQsIDE1KTwvRGlzcGxheVRleHQ+PHJlY29yZD48cmVjLW51bWJlcj4xMDg5NTwvcmVj
LW51bWJlcj48Zm9yZWlnbi1rZXlzPjxrZXkgYXBwPSJFTiIgZGItaWQ9IjVkYTBzdmQ1YTBzMGF1
ZXN4cjV2cGF4cWZkYXJlZHB2c3RzciIgdGltZXN0YW1wPSIxNDgyNDQyMzg4Ij4xMDg5NTwva2V5
PjwvZm9yZWlnbi1rZXlzPjxyZWYtdHlwZSBuYW1lPSJKb3VybmFsIEFydGljbGUiPjE3PC9yZWYt
dHlwZT48Y29udHJpYnV0b3JzPjxhdXRob3JzPjxhdXRob3I+R29vZG1hbiwgUm9iZXJ0PC9hdXRo
b3I+PC9hdXRob3JzPjwvY29udHJpYnV0b3JzPjx0aXRsZXM+PHRpdGxlPlBzeWNob21ldHJpYyBw
cm9wZXJ0aWVzIG9mIHRoZSBzdHJlbmd0aHMgYW5kIGRpZmZpY3VsdGllcyBxdWVzdGlvbm5haXJl
PC90aXRsZT48c2Vjb25kYXJ5LXRpdGxlPkpvdXJuYWwgb2YgdGhlIEFtZXJpY2FuIEFjYWRlbXkg
b2YgQ2hpbGQgJmFtcDsgQWRvbGVzY2VudCBQc3ljaGlhdHJ5PC9zZWNvbmRhcnktdGl0bGU+PC90
aXRsZXM+PHBlcmlvZGljYWw+PGZ1bGwtdGl0bGU+Sm91cm5hbCBvZiB0aGUgQW1lcmljYW4gQWNh
ZGVteSBvZiBDaGlsZCBhbmQgQWRvbGVzY2VudCBQc3ljaGlhdHJ5PC9mdWxsLXRpdGxlPjxhYmJy
LTE+Si4gQW0uIEFjYWQuIENoaWxkIEFkb2xlc2MuIFBzeWNoaWF0cnk8L2FiYnItMT48YWJici0y
PkogQW0gQWNhZCBDaGlsZCBBZG9sZXNjIFBzeWNoaWF0cnk8L2FiYnItMj48YWJici0zPkpvdXJu
YWwgb2YgdGhlIEFtZXJpY2FuIEFjYWRlbXkgb2YgQ2hpbGQgJmFtcDsgQWRvbGVzY2VudCBQc3lj
aGlhdHJ5PC9hYmJyLTM+PC9wZXJpb2RpY2FsPjxwYWdlcz4xMzM3LTEzNDU8L3BhZ2VzPjx2b2x1
bWU+NDA8L3ZvbHVtZT48bnVtYmVyPjExPC9udW1iZXI+PGRhdGVzPjx5ZWFyPjIwMDE8L3llYXI+
PC9kYXRlcz48aXNibj4wODkwLTg1Njc8L2lzYm4+PHVybHM+PC91cmxzPjwvcmVjb3JkPjwvQ2l0
ZT48Q2l0ZT48QXV0aG9yPkdvb2RtYW48L0F1dGhvcj48WWVhcj4yMDAxPC9ZZWFyPjxSZWNOdW0+
MjMzPC9SZWNOdW0+PHJlY29yZD48cmVjLW51bWJlcj4yMzM8L3JlYy1udW1iZXI+PGZvcmVpZ24t
a2V5cz48a2V5IGFwcD0iRU4iIGRiLWlkPSJwdjlyc3AyZWR0c3R6MGVzOWY4eDB3ZXBlcnZ2dHIw
eHp3OTAiIHRpbWVzdGFtcD0iMTU2NDE2ODMyNSI+MjMzPC9rZXk+PC9mb3JlaWduLWtleXM+PHJl
Zi10eXBlIG5hbWU9IkpvdXJuYWwgQXJ0aWNsZSI+MTc8L3JlZi10eXBlPjxjb250cmlidXRvcnM+
PGF1dGhvcnM+PGF1dGhvcj5Hb29kbWFuLCBSLjwvYXV0aG9yPjwvYXV0aG9ycz48L2NvbnRyaWJ1
dG9ycz48YXV0aC1hZGRyZXNzPkRlcGFydG1lbnQgb2YgQ2hpbGQgYW5kIEFkb2xlc2NlbnQgUHN5
Y2hpYXRyeSwgSW5zdGl0dXRlIG9mIFBzeWNoaWF0cnksIEtpbmdzIENvbGxlZ2UgTG9uZG9uLCBF
bmdsYW5kLiByLmdvb2RtYW5AaW9wLmtjbC5hY2sudWs8L2F1dGgtYWRkcmVzcz48dGl0bGVzPjx0
aXRsZT5Qc3ljaG9tZXRyaWMgcHJvcGVydGllcyBvZiB0aGUgc3RyZW5ndGhzIGFuZCBkaWZmaWN1
bHRpZXMgcXVlc3Rpb25uYWlyZTwvdGl0bGU+PHNlY29uZGFyeS10aXRsZT5KIEFtIEFjYWQgQ2hp
bGQgQWRvbGVzYyBQc3ljaGlhdHJ5PC9zZWNvbmRhcnktdGl0bGU+PC90aXRsZXM+PHBlcmlvZGlj
YWw+PGZ1bGwtdGl0bGU+SiBBbSBBY2FkIENoaWxkIEFkb2xlc2MgUHN5Y2hpYXRyeTwvZnVsbC10
aXRsZT48L3BlcmlvZGljYWw+PHBhZ2VzPjEzMzctNDU8L3BhZ2VzPjx2b2x1bWU+NDA8L3ZvbHVt
ZT48bnVtYmVyPjExPC9udW1iZXI+PGVkaXRpb24+MjAwMS8xMS8wOTwvZWRpdGlvbj48a2V5d29y
ZHM+PGtleXdvcmQ+QWRvbGVzY2VudDwva2V5d29yZD48a2V5d29yZD5BZmZlY3RpdmUgU3ltcHRv
bXMvZGlhZ25vc2lzL3BzeWNob2xvZ3k8L2tleXdvcmQ+PGtleXdvcmQ+QXR0ZW50aW9uIERlZmlj
aXQgRGlzb3JkZXIgd2l0aCBIeXBlcmFjdGl2aXR5L2RpYWdub3Npcy9wc3ljaG9sb2d5PC9rZXl3
b3JkPjxrZXl3b3JkPkNoaWxkPC9rZXl3b3JkPjxrZXl3b3JkPkNoaWxkIEJlaGF2aW9yIERpc29y
ZGVycy8qZGlhZ25vc2lzL3BzeWNob2xvZ3k8L2tleXdvcmQ+PGtleXdvcmQ+Q2hpbGQsIFByZXNj
aG9vbDwva2V5d29yZD48a2V5d29yZD5GZW1hbGU8L2tleXdvcmQ+PGtleXdvcmQ+Rm9sbG93LVVw
IFN0dWRpZXM8L2tleXdvcmQ+PGtleXdvcmQ+SHVtYW5zPC9rZXl3b3JkPjxrZXl3b3JkPkludGVy
bmFsLUV4dGVybmFsIENvbnRyb2w8L2tleXdvcmQ+PGtleXdvcmQ+TWFsZTwva2V5d29yZD48a2V5
d29yZD5QZXJzb25hbGl0eSBBc3Nlc3NtZW50LypzdGF0aXN0aWNzICZhbXA7IG51bWVyaWNhbCBk
YXRhPC9rZXl3b3JkPjxrZXl3b3JkPlBzeWNob21ldHJpY3M8L2tleXdvcmQ+PGtleXdvcmQ+UmVw
cm9kdWNpYmlsaXR5IG9mIFJlc3VsdHM8L2tleXdvcmQ+PGtleXdvcmQ+KlNvY2lhbCBCZWhhdmlv
cjwva2V5d29yZD48L2tleXdvcmRzPjxkYXRlcz48eWVhcj4yMDAxPC95ZWFyPjxwdWItZGF0ZXM+
PGRhdGU+Tm92PC9kYXRlPjwvcHViLWRhdGVzPjwvZGF0ZXM+PGlzYm4+MDg5MC04NTY3IChQcmlu
dCkmI3hEOzA4OTAtODU2NyAoTGlua2luZyk8L2lzYm4+PGFjY2Vzc2lvbi1udW0+MTE2OTk4MDk8
L2FjY2Vzc2lvbi1udW0+PHVybHM+PHJlbGF0ZWQtdXJscz48dXJsPmh0dHBzOi8vd3d3Lm5jYmku
bmxtLm5paC5nb3YvcHVibWVkLzExNjk5ODA5PC91cmw+PC9yZWxhdGVkLXVybHM+PC91cmxzPjxl
bGVjdHJvbmljLXJlc291cmNlLW51bT4xMC4xMDk3LzAwMDA0NTgzLTIwMDExMTAwMC0wMDAxNTwv
ZWxlY3Ryb25pYy1yZXNvdXJjZS1udW0+PC9yZWNvcmQ+PC9DaXRlPjwvRW5kTm90ZT4A
</w:fldData>
        </w:fldChar>
      </w:r>
      <w:r w:rsidRPr="00FA68B1">
        <w:rPr>
          <w:rFonts w:ascii="Arial" w:hAnsi="Arial" w:cs="Arial"/>
          <w:sz w:val="22"/>
          <w:szCs w:val="22"/>
        </w:rPr>
        <w:instrText xml:space="preserve"> ADDIN EN.CITE </w:instrText>
      </w:r>
      <w:r w:rsidRPr="00FA68B1">
        <w:rPr>
          <w:rFonts w:ascii="Arial" w:hAnsi="Arial" w:cs="Arial"/>
          <w:sz w:val="22"/>
          <w:szCs w:val="22"/>
        </w:rPr>
        <w:fldChar w:fldCharType="begin">
          <w:fldData xml:space="preserve">PEVuZE5vdGU+PENpdGU+PEF1dGhvcj5Hb29kbWFuPC9BdXRob3I+PFllYXI+MjAwMTwvWWVhcj48
UmVjTnVtPjEwODk1PC9SZWNOdW0+PFByZWZpeD5TRFFgLCA8L1ByZWZpeD48RGlzcGxheVRleHQ+
KFNEUSwgMTQsIDE1KTwvRGlzcGxheVRleHQ+PHJlY29yZD48cmVjLW51bWJlcj4xMDg5NTwvcmVj
LW51bWJlcj48Zm9yZWlnbi1rZXlzPjxrZXkgYXBwPSJFTiIgZGItaWQ9IjVkYTBzdmQ1YTBzMGF1
ZXN4cjV2cGF4cWZkYXJlZHB2c3RzciIgdGltZXN0YW1wPSIxNDgyNDQyMzg4Ij4xMDg5NTwva2V5
PjwvZm9yZWlnbi1rZXlzPjxyZWYtdHlwZSBuYW1lPSJKb3VybmFsIEFydGljbGUiPjE3PC9yZWYt
dHlwZT48Y29udHJpYnV0b3JzPjxhdXRob3JzPjxhdXRob3I+R29vZG1hbiwgUm9iZXJ0PC9hdXRo
b3I+PC9hdXRob3JzPjwvY29udHJpYnV0b3JzPjx0aXRsZXM+PHRpdGxlPlBzeWNob21ldHJpYyBw
cm9wZXJ0aWVzIG9mIHRoZSBzdHJlbmd0aHMgYW5kIGRpZmZpY3VsdGllcyBxdWVzdGlvbm5haXJl
PC90aXRsZT48c2Vjb25kYXJ5LXRpdGxlPkpvdXJuYWwgb2YgdGhlIEFtZXJpY2FuIEFjYWRlbXkg
b2YgQ2hpbGQgJmFtcDsgQWRvbGVzY2VudCBQc3ljaGlhdHJ5PC9zZWNvbmRhcnktdGl0bGU+PC90
aXRsZXM+PHBlcmlvZGljYWw+PGZ1bGwtdGl0bGU+Sm91cm5hbCBvZiB0aGUgQW1lcmljYW4gQWNh
ZGVteSBvZiBDaGlsZCBhbmQgQWRvbGVzY2VudCBQc3ljaGlhdHJ5PC9mdWxsLXRpdGxlPjxhYmJy
LTE+Si4gQW0uIEFjYWQuIENoaWxkIEFkb2xlc2MuIFBzeWNoaWF0cnk8L2FiYnItMT48YWJici0y
PkogQW0gQWNhZCBDaGlsZCBBZG9sZXNjIFBzeWNoaWF0cnk8L2FiYnItMj48YWJici0zPkpvdXJu
YWwgb2YgdGhlIEFtZXJpY2FuIEFjYWRlbXkgb2YgQ2hpbGQgJmFtcDsgQWRvbGVzY2VudCBQc3lj
aGlhdHJ5PC9hYmJyLTM+PC9wZXJpb2RpY2FsPjxwYWdlcz4xMzM3LTEzNDU8L3BhZ2VzPjx2b2x1
bWU+NDA8L3ZvbHVtZT48bnVtYmVyPjExPC9udW1iZXI+PGRhdGVzPjx5ZWFyPjIwMDE8L3llYXI+
PC9kYXRlcz48aXNibj4wODkwLTg1Njc8L2lzYm4+PHVybHM+PC91cmxzPjwvcmVjb3JkPjwvQ2l0
ZT48Q2l0ZT48QXV0aG9yPkdvb2RtYW48L0F1dGhvcj48WWVhcj4yMDAxPC9ZZWFyPjxSZWNOdW0+
MjMzPC9SZWNOdW0+PHJlY29yZD48cmVjLW51bWJlcj4yMzM8L3JlYy1udW1iZXI+PGZvcmVpZ24t
a2V5cz48a2V5IGFwcD0iRU4iIGRiLWlkPSJwdjlyc3AyZWR0c3R6MGVzOWY4eDB3ZXBlcnZ2dHIw
eHp3OTAiIHRpbWVzdGFtcD0iMTU2NDE2ODMyNSI+MjMzPC9rZXk+PC9mb3JlaWduLWtleXM+PHJl
Zi10eXBlIG5hbWU9IkpvdXJuYWwgQXJ0aWNsZSI+MTc8L3JlZi10eXBlPjxjb250cmlidXRvcnM+
PGF1dGhvcnM+PGF1dGhvcj5Hb29kbWFuLCBSLjwvYXV0aG9yPjwvYXV0aG9ycz48L2NvbnRyaWJ1
dG9ycz48YXV0aC1hZGRyZXNzPkRlcGFydG1lbnQgb2YgQ2hpbGQgYW5kIEFkb2xlc2NlbnQgUHN5
Y2hpYXRyeSwgSW5zdGl0dXRlIG9mIFBzeWNoaWF0cnksIEtpbmdzIENvbGxlZ2UgTG9uZG9uLCBF
bmdsYW5kLiByLmdvb2RtYW5AaW9wLmtjbC5hY2sudWs8L2F1dGgtYWRkcmVzcz48dGl0bGVzPjx0
aXRsZT5Qc3ljaG9tZXRyaWMgcHJvcGVydGllcyBvZiB0aGUgc3RyZW5ndGhzIGFuZCBkaWZmaWN1
bHRpZXMgcXVlc3Rpb25uYWlyZTwvdGl0bGU+PHNlY29uZGFyeS10aXRsZT5KIEFtIEFjYWQgQ2hp
bGQgQWRvbGVzYyBQc3ljaGlhdHJ5PC9zZWNvbmRhcnktdGl0bGU+PC90aXRsZXM+PHBlcmlvZGlj
YWw+PGZ1bGwtdGl0bGU+SiBBbSBBY2FkIENoaWxkIEFkb2xlc2MgUHN5Y2hpYXRyeTwvZnVsbC10
aXRsZT48L3BlcmlvZGljYWw+PHBhZ2VzPjEzMzctNDU8L3BhZ2VzPjx2b2x1bWU+NDA8L3ZvbHVt
ZT48bnVtYmVyPjExPC9udW1iZXI+PGVkaXRpb24+MjAwMS8xMS8wOTwvZWRpdGlvbj48a2V5d29y
ZHM+PGtleXdvcmQ+QWRvbGVzY2VudDwva2V5d29yZD48a2V5d29yZD5BZmZlY3RpdmUgU3ltcHRv
bXMvZGlhZ25vc2lzL3BzeWNob2xvZ3k8L2tleXdvcmQ+PGtleXdvcmQ+QXR0ZW50aW9uIERlZmlj
aXQgRGlzb3JkZXIgd2l0aCBIeXBlcmFjdGl2aXR5L2RpYWdub3Npcy9wc3ljaG9sb2d5PC9rZXl3
b3JkPjxrZXl3b3JkPkNoaWxkPC9rZXl3b3JkPjxrZXl3b3JkPkNoaWxkIEJlaGF2aW9yIERpc29y
ZGVycy8qZGlhZ25vc2lzL3BzeWNob2xvZ3k8L2tleXdvcmQ+PGtleXdvcmQ+Q2hpbGQsIFByZXNj
aG9vbDwva2V5d29yZD48a2V5d29yZD5GZW1hbGU8L2tleXdvcmQ+PGtleXdvcmQ+Rm9sbG93LVVw
IFN0dWRpZXM8L2tleXdvcmQ+PGtleXdvcmQ+SHVtYW5zPC9rZXl3b3JkPjxrZXl3b3JkPkludGVy
bmFsLUV4dGVybmFsIENvbnRyb2w8L2tleXdvcmQ+PGtleXdvcmQ+TWFsZTwva2V5d29yZD48a2V5
d29yZD5QZXJzb25hbGl0eSBBc3Nlc3NtZW50LypzdGF0aXN0aWNzICZhbXA7IG51bWVyaWNhbCBk
YXRhPC9rZXl3b3JkPjxrZXl3b3JkPlBzeWNob21ldHJpY3M8L2tleXdvcmQ+PGtleXdvcmQ+UmVw
cm9kdWNpYmlsaXR5IG9mIFJlc3VsdHM8L2tleXdvcmQ+PGtleXdvcmQ+KlNvY2lhbCBCZWhhdmlv
cjwva2V5d29yZD48L2tleXdvcmRzPjxkYXRlcz48eWVhcj4yMDAxPC95ZWFyPjxwdWItZGF0ZXM+
PGRhdGU+Tm92PC9kYXRlPjwvcHViLWRhdGVzPjwvZGF0ZXM+PGlzYm4+MDg5MC04NTY3IChQcmlu
dCkmI3hEOzA4OTAtODU2NyAoTGlua2luZyk8L2lzYm4+PGFjY2Vzc2lvbi1udW0+MTE2OTk4MDk8
L2FjY2Vzc2lvbi1udW0+PHVybHM+PHJlbGF0ZWQtdXJscz48dXJsPmh0dHBzOi8vd3d3Lm5jYmku
bmxtLm5paC5nb3YvcHVibWVkLzExNjk5ODA5PC91cmw+PC9yZWxhdGVkLXVybHM+PC91cmxzPjxl
bGVjdHJvbmljLXJlc291cmNlLW51bT4xMC4xMDk3LzAwMDA0NTgzLTIwMDExMTAwMC0wMDAxNTwv
ZWxlY3Ryb25pYy1yZXNvdXJjZS1udW0+PC9yZWNvcmQ+PC9DaXRlPjwvRW5kTm90ZT4A
</w:fldData>
        </w:fldChar>
      </w:r>
      <w:r w:rsidRPr="00FA68B1">
        <w:rPr>
          <w:rFonts w:ascii="Arial" w:hAnsi="Arial" w:cs="Arial"/>
          <w:sz w:val="22"/>
          <w:szCs w:val="22"/>
        </w:rPr>
        <w:instrText xml:space="preserve"> ADDIN EN.CITE.DATA </w:instrText>
      </w:r>
      <w:r w:rsidRPr="00FA68B1">
        <w:rPr>
          <w:rFonts w:ascii="Arial" w:hAnsi="Arial" w:cs="Arial"/>
          <w:sz w:val="22"/>
          <w:szCs w:val="22"/>
        </w:rPr>
      </w:r>
      <w:r w:rsidRPr="00FA68B1">
        <w:rPr>
          <w:rFonts w:ascii="Arial" w:hAnsi="Arial" w:cs="Arial"/>
          <w:sz w:val="22"/>
          <w:szCs w:val="22"/>
        </w:rPr>
        <w:fldChar w:fldCharType="end"/>
      </w:r>
      <w:r w:rsidRPr="00FA68B1">
        <w:rPr>
          <w:rFonts w:ascii="Arial" w:hAnsi="Arial" w:cs="Arial"/>
          <w:sz w:val="22"/>
          <w:szCs w:val="22"/>
        </w:rPr>
      </w:r>
      <w:r w:rsidRPr="00FA68B1">
        <w:rPr>
          <w:rFonts w:ascii="Arial" w:hAnsi="Arial" w:cs="Arial"/>
          <w:sz w:val="22"/>
          <w:szCs w:val="22"/>
        </w:rPr>
        <w:fldChar w:fldCharType="separate"/>
      </w:r>
      <w:r w:rsidRPr="00FA68B1">
        <w:rPr>
          <w:rFonts w:ascii="Arial" w:hAnsi="Arial" w:cs="Arial"/>
          <w:noProof/>
          <w:sz w:val="22"/>
          <w:szCs w:val="22"/>
        </w:rPr>
        <w:t>(SDQ, 14, 15)</w:t>
      </w:r>
      <w:r w:rsidRPr="00FA68B1">
        <w:rPr>
          <w:rFonts w:ascii="Arial" w:hAnsi="Arial" w:cs="Arial"/>
          <w:sz w:val="22"/>
          <w:szCs w:val="22"/>
        </w:rPr>
        <w:fldChar w:fldCharType="end"/>
      </w:r>
      <w:r w:rsidRPr="00FA68B1">
        <w:rPr>
          <w:rFonts w:ascii="Arial" w:hAnsi="Arial" w:cs="Arial"/>
          <w:sz w:val="22"/>
          <w:szCs w:val="22"/>
        </w:rPr>
        <w:t xml:space="preserve">) </w:t>
      </w:r>
      <w:r w:rsidRPr="00FA68B1">
        <w:rPr>
          <w:rFonts w:ascii="Arial" w:hAnsi="Arial" w:cs="Arial"/>
          <w:sz w:val="22"/>
          <w:szCs w:val="22"/>
        </w:rPr>
        <w:fldChar w:fldCharType="begin"/>
      </w:r>
      <w:r w:rsidRPr="00FA68B1">
        <w:rPr>
          <w:rFonts w:ascii="Arial" w:hAnsi="Arial" w:cs="Arial"/>
          <w:sz w:val="22"/>
          <w:szCs w:val="22"/>
        </w:rPr>
        <w:instrText xml:space="preserve"> ADDIN EN.CITE &lt;EndNote&gt;&lt;Cite&gt;&lt;Author&gt;Goodman&lt;/Author&gt;&lt;Year&gt;2001&lt;/Year&gt;&lt;RecNum&gt;233&lt;/RecNum&gt;&lt;DisplayText&gt;(15)&lt;/DisplayText&gt;&lt;record&gt;&lt;rec-number&gt;233&lt;/rec-number&gt;&lt;foreign-keys&gt;&lt;key app="EN" db-id="pv9rsp2edtstz0es9f8x0wepervvtr0xzw90" timestamp="1564168325"&gt;233&lt;/key&gt;&lt;/foreign-keys&gt;&lt;ref-type name="Journal Article"&gt;17&lt;/ref-type&gt;&lt;contributors&gt;&lt;authors&gt;&lt;author&gt;Goodman, R.&lt;/author&gt;&lt;/authors&gt;&lt;/contributors&gt;&lt;auth-address&gt;Department of Child and Adolescent Psychiatry, Institute of Psychiatry, Kings College London, England. r.goodman@iop.kcl.ack.uk&lt;/auth-address&gt;&lt;titles&gt;&lt;title&gt;Psychometric properties of the strengths and difficulties questionnaire&lt;/title&gt;&lt;secondary-title&gt;J Am Acad Child Adolesc Psychiatry&lt;/secondary-title&gt;&lt;/titles&gt;&lt;periodical&gt;&lt;full-title&gt;J Am Acad Child Adolesc Psychiatry&lt;/full-title&gt;&lt;/periodical&gt;&lt;pages&gt;1337-45&lt;/pages&gt;&lt;volume&gt;40&lt;/volume&gt;&lt;number&gt;11&lt;/number&gt;&lt;edition&gt;2001/11/09&lt;/edition&gt;&lt;keywords&gt;&lt;keyword&gt;Adolescent&lt;/keyword&gt;&lt;keyword&gt;Affective Symptoms/diagnosis/psychology&lt;/keyword&gt;&lt;keyword&gt;Attention Deficit Disorder with Hyperactivity/diagnosis/psychology&lt;/keyword&gt;&lt;keyword&gt;Child&lt;/keyword&gt;&lt;keyword&gt;Child Behavior Disorders/*diagnosis/psychology&lt;/keyword&gt;&lt;keyword&gt;Child, Preschool&lt;/keyword&gt;&lt;keyword&gt;Female&lt;/keyword&gt;&lt;keyword&gt;Follow-Up Studies&lt;/keyword&gt;&lt;keyword&gt;Humans&lt;/keyword&gt;&lt;keyword&gt;Internal-External Control&lt;/keyword&gt;&lt;keyword&gt;Male&lt;/keyword&gt;&lt;keyword&gt;Personality Assessment/*statistics &amp;amp; numerical data&lt;/keyword&gt;&lt;keyword&gt;Psychometrics&lt;/keyword&gt;&lt;keyword&gt;Reproducibility of Results&lt;/keyword&gt;&lt;keyword&gt;*Social Behavior&lt;/keyword&gt;&lt;/keywords&gt;&lt;dates&gt;&lt;year&gt;2001&lt;/year&gt;&lt;pub-dates&gt;&lt;date&gt;Nov&lt;/date&gt;&lt;/pub-dates&gt;&lt;/dates&gt;&lt;isbn&gt;0890-8567 (Print)&amp;#xD;0890-8567 (Linking)&lt;/isbn&gt;&lt;accession-num&gt;11699809&lt;/accession-num&gt;&lt;urls&gt;&lt;related-urls&gt;&lt;url&gt;https://www.ncbi.nlm.nih.gov/pubmed/11699809&lt;/url&gt;&lt;/related-urls&gt;&lt;/urls&gt;&lt;electronic-resource-num&gt;10.1097/00004583-200111000-00015&lt;/electronic-resource-num&gt;&lt;/record&gt;&lt;/Cite&gt;&lt;/EndNote&gt;</w:instrText>
      </w:r>
      <w:r w:rsidRPr="00FA68B1">
        <w:rPr>
          <w:rFonts w:ascii="Arial" w:hAnsi="Arial" w:cs="Arial"/>
          <w:sz w:val="22"/>
          <w:szCs w:val="22"/>
        </w:rPr>
        <w:fldChar w:fldCharType="separate"/>
      </w:r>
      <w:r w:rsidRPr="00FA68B1">
        <w:rPr>
          <w:rFonts w:ascii="Arial" w:hAnsi="Arial" w:cs="Arial"/>
          <w:noProof/>
          <w:sz w:val="22"/>
          <w:szCs w:val="22"/>
        </w:rPr>
        <w:t>(15)</w:t>
      </w:r>
      <w:r w:rsidRPr="00FA68B1">
        <w:rPr>
          <w:rFonts w:ascii="Arial" w:hAnsi="Arial" w:cs="Arial"/>
          <w:sz w:val="22"/>
          <w:szCs w:val="22"/>
        </w:rPr>
        <w:fldChar w:fldCharType="end"/>
      </w:r>
      <w:r w:rsidRPr="00FA68B1">
        <w:rPr>
          <w:rFonts w:ascii="Arial" w:hAnsi="Arial" w:cs="Arial"/>
          <w:sz w:val="22"/>
          <w:szCs w:val="22"/>
        </w:rPr>
        <w:t>; the ADHD Rating Scale (</w:t>
      </w:r>
      <w:r w:rsidRPr="00FA68B1">
        <w:rPr>
          <w:rFonts w:ascii="Arial" w:hAnsi="Arial" w:cs="Arial"/>
          <w:sz w:val="22"/>
          <w:szCs w:val="22"/>
        </w:rPr>
        <w:fldChar w:fldCharType="begin"/>
      </w:r>
      <w:r w:rsidRPr="00FA68B1">
        <w:rPr>
          <w:rFonts w:ascii="Arial" w:hAnsi="Arial" w:cs="Arial"/>
          <w:sz w:val="22"/>
          <w:szCs w:val="22"/>
        </w:rPr>
        <w:instrText xml:space="preserve"> ADDIN EN.CITE &lt;EndNote&gt;&lt;Cite&gt;&lt;Author&gt;DuPaul&lt;/Author&gt;&lt;Year&gt;1998&lt;/Year&gt;&lt;RecNum&gt;10896&lt;/RecNum&gt;&lt;Prefix&gt;ADHD-RS`, &lt;/Prefix&gt;&lt;DisplayText&gt;(ADHD-RS, 16)&lt;/DisplayText&gt;&lt;record&gt;&lt;rec-number&gt;10896&lt;/rec-number&gt;&lt;foreign-keys&gt;&lt;key app="EN" db-id="5da0svd5a0s0auesxr5vpaxqfdaredpvstsr" timestamp="1482442392"&gt;10896&lt;/key&gt;&lt;/foreign-keys&gt;&lt;ref-type name="Book"&gt;6&lt;/ref-type&gt;&lt;contributors&gt;&lt;authors&gt;&lt;author&gt;DuPaul, G.&lt;/author&gt;&lt;author&gt;Power, T.&lt;/author&gt;&lt;author&gt;Anastopoulos, A.&lt;/author&gt;&lt;author&gt;Reid, R.&lt;/author&gt;&lt;/authors&gt;&lt;/contributors&gt;&lt;titles&gt;&lt;title&gt;ADHD Rating Scale—IV: Checklists, Norms, and Clinical Interpretation&lt;/title&gt;&lt;/titles&gt;&lt;dates&gt;&lt;year&gt;1998&lt;/year&gt;&lt;/dates&gt;&lt;pub-location&gt;NY, NY&lt;/pub-location&gt;&lt;publisher&gt;Guilford Press&lt;/publisher&gt;&lt;urls&gt;&lt;/urls&gt;&lt;/record&gt;&lt;/Cite&gt;&lt;/EndNote&gt;</w:instrText>
      </w:r>
      <w:r w:rsidRPr="00FA68B1">
        <w:rPr>
          <w:rFonts w:ascii="Arial" w:hAnsi="Arial" w:cs="Arial"/>
          <w:sz w:val="22"/>
          <w:szCs w:val="22"/>
        </w:rPr>
        <w:fldChar w:fldCharType="separate"/>
      </w:r>
      <w:r w:rsidRPr="00FA68B1">
        <w:rPr>
          <w:rFonts w:ascii="Arial" w:hAnsi="Arial" w:cs="Arial"/>
          <w:noProof/>
          <w:sz w:val="22"/>
          <w:szCs w:val="22"/>
        </w:rPr>
        <w:t>(ADHD-RS, 16)</w:t>
      </w:r>
      <w:r w:rsidRPr="00FA68B1">
        <w:rPr>
          <w:rFonts w:ascii="Arial" w:hAnsi="Arial" w:cs="Arial"/>
          <w:sz w:val="22"/>
          <w:szCs w:val="22"/>
        </w:rPr>
        <w:fldChar w:fldCharType="end"/>
      </w:r>
      <w:r w:rsidRPr="00FA68B1">
        <w:rPr>
          <w:rFonts w:ascii="Arial" w:hAnsi="Arial" w:cs="Arial"/>
          <w:sz w:val="22"/>
          <w:szCs w:val="22"/>
        </w:rPr>
        <w:t xml:space="preserve">) </w:t>
      </w:r>
      <w:r w:rsidRPr="00FA68B1">
        <w:rPr>
          <w:rFonts w:ascii="Arial" w:hAnsi="Arial" w:cs="Arial"/>
          <w:sz w:val="22"/>
          <w:szCs w:val="22"/>
        </w:rPr>
        <w:fldChar w:fldCharType="begin"/>
      </w:r>
      <w:r w:rsidRPr="00FA68B1">
        <w:rPr>
          <w:rFonts w:ascii="Arial" w:hAnsi="Arial" w:cs="Arial"/>
          <w:sz w:val="22"/>
          <w:szCs w:val="22"/>
        </w:rPr>
        <w:instrText xml:space="preserve"> ADDIN EN.CITE &lt;EndNote&gt;&lt;Cite&gt;&lt;Author&gt;DuPaul&lt;/Author&gt;&lt;Year&gt;1998&lt;/Year&gt;&lt;RecNum&gt;234&lt;/RecNum&gt;&lt;DisplayText&gt;(16)&lt;/DisplayText&gt;&lt;record&gt;&lt;rec-number&gt;234&lt;/rec-number&gt;&lt;foreign-keys&gt;&lt;key app="EN" db-id="pv9rsp2edtstz0es9f8x0wepervvtr0xzw90" timestamp="1564168642"&gt;234&lt;/key&gt;&lt;/foreign-keys&gt;&lt;ref-type name="Book"&gt;6&lt;/ref-type&gt;&lt;contributors&gt;&lt;authors&gt;&lt;author&gt;DuPaul, G&lt;/author&gt;&lt;author&gt;Power, T&lt;/author&gt;&lt;author&gt;Anastopoulos, A&lt;/author&gt;&lt;author&gt;Reid, R&lt;/author&gt;&lt;/authors&gt;&lt;/contributors&gt;&lt;titles&gt;&lt;title&gt;ADHD Rating Scale—IV: Checklists, Norms, and Clinical Interpretation&lt;/title&gt;&lt;/titles&gt;&lt;dates&gt;&lt;year&gt;1998&lt;/year&gt;&lt;/dates&gt;&lt;pub-location&gt;New York, NY&lt;/pub-location&gt;&lt;publisher&gt;Guilford Press&lt;/publisher&gt;&lt;urls&gt;&lt;/urls&gt;&lt;/record&gt;&lt;/Cite&gt;&lt;/EndNote&gt;</w:instrText>
      </w:r>
      <w:r w:rsidRPr="00FA68B1">
        <w:rPr>
          <w:rFonts w:ascii="Arial" w:hAnsi="Arial" w:cs="Arial"/>
          <w:sz w:val="22"/>
          <w:szCs w:val="22"/>
        </w:rPr>
        <w:fldChar w:fldCharType="separate"/>
      </w:r>
      <w:r w:rsidRPr="00FA68B1">
        <w:rPr>
          <w:rFonts w:ascii="Arial" w:hAnsi="Arial" w:cs="Arial"/>
          <w:noProof/>
          <w:sz w:val="22"/>
          <w:szCs w:val="22"/>
        </w:rPr>
        <w:t>(16)</w:t>
      </w:r>
      <w:r w:rsidRPr="00FA68B1">
        <w:rPr>
          <w:rFonts w:ascii="Arial" w:hAnsi="Arial" w:cs="Arial"/>
          <w:sz w:val="22"/>
          <w:szCs w:val="22"/>
        </w:rPr>
        <w:fldChar w:fldCharType="end"/>
      </w:r>
      <w:r w:rsidRPr="00FA68B1">
        <w:rPr>
          <w:rFonts w:ascii="Arial" w:hAnsi="Arial" w:cs="Arial"/>
          <w:sz w:val="22"/>
          <w:szCs w:val="22"/>
        </w:rPr>
        <w:t>, and a semi-structured clinical interview administered by a Master’s-degree level clinician trained to reliability with an outside trainer (EB)(</w:t>
      </w:r>
      <w:r w:rsidRPr="00FA68B1">
        <w:rPr>
          <w:rFonts w:ascii="Arial" w:hAnsi="Arial" w:cs="Arial"/>
          <w:sz w:val="22"/>
          <w:szCs w:val="22"/>
        </w:rPr>
        <w:fldChar w:fldCharType="begin"/>
      </w:r>
      <w:r w:rsidRPr="00FA68B1">
        <w:rPr>
          <w:rFonts w:ascii="Arial" w:hAnsi="Arial" w:cs="Arial"/>
          <w:sz w:val="22"/>
          <w:szCs w:val="22"/>
        </w:rPr>
        <w:instrText xml:space="preserve"> ADDIN EN.CITE &lt;EndNote&gt;&lt;Cite&gt;&lt;Author&gt;Puig-Antich&lt;/Author&gt;&lt;Year&gt;1986&lt;/Year&gt;&lt;RecNum&gt;10897&lt;/RecNum&gt;&lt;Prefix&gt;Kiddie Schedule for Affective Disorders and Schizophrenia`, &lt;/Prefix&gt;&lt;DisplayText&gt;(Kiddie Schedule for Affective Disorders and Schizophrenia, 17)&lt;/DisplayText&gt;&lt;record&gt;&lt;rec-number&gt;10897&lt;/rec-number&gt;&lt;foreign-keys&gt;&lt;key app="EN" db-id="5da0svd5a0s0auesxr5vpaxqfdaredpvstsr" timestamp="1482442396"&gt;10897&lt;/key&gt;&lt;/foreign-keys&gt;&lt;ref-type name="Book"&gt;6&lt;/ref-type&gt;&lt;contributors&gt;&lt;authors&gt;&lt;author&gt;Puig-Antich, J.&lt;/author&gt;&lt;author&gt;Ryan, N.&lt;/author&gt;&lt;/authors&gt;&lt;/contributors&gt;&lt;titles&gt;&lt;title&gt;Kiddie schedule for affective disorders and schizophrenia&lt;/title&gt;&lt;/titles&gt;&lt;dates&gt;&lt;year&gt;1986&lt;/year&gt;&lt;/dates&gt;&lt;pub-location&gt;Pittsburgh, PA&lt;/pub-location&gt;&lt;publisher&gt;Western Psychiatric Institute&lt;/publisher&gt;&lt;urls&gt;&lt;/urls&gt;&lt;/record&gt;&lt;/Cite&gt;&lt;/EndNote&gt;</w:instrText>
      </w:r>
      <w:r w:rsidRPr="00FA68B1">
        <w:rPr>
          <w:rFonts w:ascii="Arial" w:hAnsi="Arial" w:cs="Arial"/>
          <w:sz w:val="22"/>
          <w:szCs w:val="22"/>
        </w:rPr>
        <w:fldChar w:fldCharType="separate"/>
      </w:r>
      <w:r w:rsidRPr="00FA68B1">
        <w:rPr>
          <w:rFonts w:ascii="Arial" w:hAnsi="Arial" w:cs="Arial"/>
          <w:noProof/>
          <w:sz w:val="22"/>
          <w:szCs w:val="22"/>
        </w:rPr>
        <w:t>(Kiddie Schedule for Affective Disorders and Schizophrenia, 17)</w:t>
      </w:r>
      <w:r w:rsidRPr="00FA68B1">
        <w:rPr>
          <w:rFonts w:ascii="Arial" w:hAnsi="Arial" w:cs="Arial"/>
          <w:sz w:val="22"/>
          <w:szCs w:val="22"/>
        </w:rPr>
        <w:fldChar w:fldCharType="end"/>
      </w:r>
      <w:r w:rsidRPr="00FA68B1">
        <w:rPr>
          <w:rFonts w:ascii="Arial" w:hAnsi="Arial" w:cs="Arial"/>
          <w:sz w:val="22"/>
          <w:szCs w:val="22"/>
        </w:rPr>
        <w:t xml:space="preserve"> </w:t>
      </w:r>
      <w:r w:rsidRPr="00FA68B1">
        <w:rPr>
          <w:rFonts w:ascii="Arial" w:hAnsi="Arial" w:cs="Arial"/>
          <w:sz w:val="22"/>
          <w:szCs w:val="22"/>
        </w:rPr>
        <w:fldChar w:fldCharType="begin"/>
      </w:r>
      <w:r w:rsidRPr="00FA68B1">
        <w:rPr>
          <w:rFonts w:ascii="Arial" w:hAnsi="Arial" w:cs="Arial"/>
          <w:sz w:val="22"/>
          <w:szCs w:val="22"/>
        </w:rPr>
        <w:instrText xml:space="preserve"> ADDIN EN.CITE &lt;EndNote&gt;&lt;Cite&gt;&lt;Author&gt;Puig-Antich&lt;/Author&gt;&lt;Year&gt;1986&lt;/Year&gt;&lt;RecNum&gt;235&lt;/RecNum&gt;&lt;DisplayText&gt;(18)&lt;/DisplayText&gt;&lt;record&gt;&lt;rec-number&gt;235&lt;/rec-number&gt;&lt;foreign-keys&gt;&lt;key app="EN" db-id="pv9rsp2edtstz0es9f8x0wepervvtr0xzw90" timestamp="1564168865"&gt;235&lt;/key&gt;&lt;/foreign-keys&gt;&lt;ref-type name="Book"&gt;6&lt;/ref-type&gt;&lt;contributors&gt;&lt;authors&gt;&lt;author&gt;Puig-Antich, J&lt;/author&gt;&lt;author&gt;Ryan, N&lt;/author&gt;&lt;/authors&gt;&lt;/contributors&gt;&lt;titles&gt;&lt;title&gt;Kiddie schedule for affective disorders and schizophrenia.&lt;/title&gt;&lt;/titles&gt;&lt;dates&gt;&lt;year&gt;1986&lt;/year&gt;&lt;/dates&gt;&lt;pub-location&gt;Pittsburgh, PA&lt;/pub-location&gt;&lt;publisher&gt;Western Psychiatric Institute&lt;/publisher&gt;&lt;urls&gt;&lt;/urls&gt;&lt;/record&gt;&lt;/Cite&gt;&lt;/EndNote&gt;</w:instrText>
      </w:r>
      <w:r w:rsidRPr="00FA68B1">
        <w:rPr>
          <w:rFonts w:ascii="Arial" w:hAnsi="Arial" w:cs="Arial"/>
          <w:sz w:val="22"/>
          <w:szCs w:val="22"/>
        </w:rPr>
        <w:fldChar w:fldCharType="separate"/>
      </w:r>
      <w:r w:rsidRPr="00FA68B1">
        <w:rPr>
          <w:rFonts w:ascii="Arial" w:hAnsi="Arial" w:cs="Arial"/>
          <w:noProof/>
          <w:sz w:val="22"/>
          <w:szCs w:val="22"/>
        </w:rPr>
        <w:t>(18)</w:t>
      </w:r>
      <w:r w:rsidRPr="00FA68B1">
        <w:rPr>
          <w:rFonts w:ascii="Arial" w:hAnsi="Arial" w:cs="Arial"/>
          <w:sz w:val="22"/>
          <w:szCs w:val="22"/>
        </w:rPr>
        <w:fldChar w:fldCharType="end"/>
      </w:r>
      <w:r w:rsidRPr="00FA68B1">
        <w:rPr>
          <w:rFonts w:ascii="Arial" w:hAnsi="Arial" w:cs="Arial"/>
          <w:sz w:val="22"/>
          <w:szCs w:val="22"/>
        </w:rPr>
        <w:t>. These data were used to evaluate consensus ADHD status by two of the authors (</w:t>
      </w:r>
      <w:proofErr w:type="gramStart"/>
      <w:r w:rsidRPr="00FA68B1">
        <w:rPr>
          <w:rFonts w:ascii="Arial" w:hAnsi="Arial" w:cs="Arial"/>
          <w:sz w:val="22"/>
          <w:szCs w:val="22"/>
        </w:rPr>
        <w:t>JN,EB</w:t>
      </w:r>
      <w:proofErr w:type="gramEnd"/>
      <w:r w:rsidRPr="00FA68B1">
        <w:rPr>
          <w:rFonts w:ascii="Arial" w:hAnsi="Arial" w:cs="Arial"/>
          <w:sz w:val="22"/>
          <w:szCs w:val="22"/>
        </w:rPr>
        <w:t xml:space="preserve">). </w:t>
      </w:r>
    </w:p>
    <w:p w14:paraId="3F8E9970" w14:textId="77777777" w:rsidR="0022579F" w:rsidRPr="00FA68B1" w:rsidRDefault="0022579F" w:rsidP="0022579F">
      <w:pPr>
        <w:spacing w:line="480" w:lineRule="auto"/>
        <w:ind w:firstLine="720"/>
        <w:rPr>
          <w:rFonts w:ascii="Arial" w:hAnsi="Arial" w:cs="Arial"/>
          <w:sz w:val="22"/>
          <w:szCs w:val="22"/>
        </w:rPr>
      </w:pPr>
      <w:r w:rsidRPr="00FA68B1">
        <w:rPr>
          <w:rFonts w:ascii="Arial" w:hAnsi="Arial" w:cs="Arial"/>
          <w:b/>
          <w:sz w:val="22"/>
          <w:szCs w:val="22"/>
        </w:rPr>
        <w:t>Definition of Discordance.</w:t>
      </w:r>
      <w:r w:rsidRPr="00FA68B1">
        <w:rPr>
          <w:rFonts w:ascii="Arial" w:hAnsi="Arial" w:cs="Arial"/>
          <w:sz w:val="22"/>
          <w:szCs w:val="22"/>
        </w:rPr>
        <w:t xml:space="preserve"> Twins were considered discordant if they met the following criteria:</w:t>
      </w:r>
    </w:p>
    <w:p w14:paraId="5CA13354" w14:textId="77777777" w:rsidR="0022579F" w:rsidRPr="00FA68B1" w:rsidRDefault="0022579F" w:rsidP="0022579F">
      <w:pPr>
        <w:pStyle w:val="ListParagraph"/>
        <w:numPr>
          <w:ilvl w:val="0"/>
          <w:numId w:val="1"/>
        </w:numPr>
        <w:spacing w:line="480" w:lineRule="auto"/>
        <w:rPr>
          <w:rFonts w:ascii="Arial" w:hAnsi="Arial" w:cs="Arial"/>
          <w:sz w:val="22"/>
          <w:szCs w:val="22"/>
        </w:rPr>
      </w:pPr>
      <w:r w:rsidRPr="00FA68B1">
        <w:rPr>
          <w:rFonts w:ascii="Arial" w:hAnsi="Arial" w:cs="Arial"/>
          <w:sz w:val="22"/>
          <w:szCs w:val="22"/>
        </w:rPr>
        <w:t>At least a 3-symptom separation on the ADHD or KSADS scoring with one twin below diagnostic threshold; or</w:t>
      </w:r>
    </w:p>
    <w:p w14:paraId="2F3B0EF5" w14:textId="77777777" w:rsidR="0022579F" w:rsidRPr="00FA68B1" w:rsidRDefault="0022579F" w:rsidP="0022579F">
      <w:pPr>
        <w:pStyle w:val="ListParagraph"/>
        <w:numPr>
          <w:ilvl w:val="0"/>
          <w:numId w:val="1"/>
        </w:numPr>
        <w:spacing w:line="480" w:lineRule="auto"/>
        <w:rPr>
          <w:rFonts w:ascii="Arial" w:hAnsi="Arial" w:cs="Arial"/>
          <w:sz w:val="22"/>
          <w:szCs w:val="22"/>
        </w:rPr>
      </w:pPr>
      <w:r w:rsidRPr="00FA68B1">
        <w:rPr>
          <w:rFonts w:ascii="Arial" w:hAnsi="Arial" w:cs="Arial"/>
          <w:sz w:val="22"/>
          <w:szCs w:val="22"/>
        </w:rPr>
        <w:t>At least a 10 point T score difference on the Conners, or</w:t>
      </w:r>
    </w:p>
    <w:p w14:paraId="07B9A6FF" w14:textId="77777777" w:rsidR="0022579F" w:rsidRPr="00FA68B1" w:rsidRDefault="0022579F" w:rsidP="0022579F">
      <w:pPr>
        <w:pStyle w:val="ListParagraph"/>
        <w:numPr>
          <w:ilvl w:val="0"/>
          <w:numId w:val="1"/>
        </w:numPr>
        <w:spacing w:line="480" w:lineRule="auto"/>
        <w:rPr>
          <w:rFonts w:ascii="Arial" w:hAnsi="Arial" w:cs="Arial"/>
          <w:sz w:val="22"/>
          <w:szCs w:val="22"/>
        </w:rPr>
      </w:pPr>
      <w:r w:rsidRPr="00FA68B1">
        <w:rPr>
          <w:rFonts w:ascii="Arial" w:hAnsi="Arial" w:cs="Arial"/>
          <w:sz w:val="22"/>
          <w:szCs w:val="22"/>
        </w:rPr>
        <w:t>One was previously diagnosed and treated and the other was not, or</w:t>
      </w:r>
    </w:p>
    <w:p w14:paraId="78483DE1" w14:textId="77777777" w:rsidR="0022579F" w:rsidRPr="002E6C57" w:rsidRDefault="0022579F" w:rsidP="0022579F">
      <w:pPr>
        <w:pStyle w:val="ListParagraph"/>
        <w:numPr>
          <w:ilvl w:val="0"/>
          <w:numId w:val="1"/>
        </w:numPr>
        <w:spacing w:line="480" w:lineRule="auto"/>
        <w:rPr>
          <w:rFonts w:ascii="Arial" w:hAnsi="Arial" w:cs="Arial"/>
          <w:sz w:val="22"/>
          <w:szCs w:val="22"/>
        </w:rPr>
      </w:pPr>
      <w:r w:rsidRPr="00FA68B1">
        <w:rPr>
          <w:rFonts w:ascii="Arial" w:hAnsi="Arial" w:cs="Arial"/>
          <w:sz w:val="22"/>
          <w:szCs w:val="22"/>
        </w:rPr>
        <w:t>Any combination of these criteria.</w:t>
      </w:r>
    </w:p>
    <w:p w14:paraId="067AD841" w14:textId="77777777" w:rsidR="0022579F" w:rsidRPr="00FA68B1" w:rsidRDefault="0022579F" w:rsidP="0022579F">
      <w:pPr>
        <w:spacing w:line="480" w:lineRule="auto"/>
        <w:ind w:firstLine="720"/>
        <w:rPr>
          <w:rFonts w:ascii="Arial" w:hAnsi="Arial" w:cs="Arial"/>
          <w:sz w:val="22"/>
          <w:szCs w:val="22"/>
        </w:rPr>
      </w:pPr>
      <w:r w:rsidRPr="00FA68B1">
        <w:rPr>
          <w:rFonts w:ascii="Arial" w:hAnsi="Arial" w:cs="Arial"/>
          <w:b/>
          <w:sz w:val="22"/>
          <w:szCs w:val="22"/>
        </w:rPr>
        <w:t>ADHD Discrepancy score.</w:t>
      </w:r>
      <w:r w:rsidRPr="00FA68B1">
        <w:rPr>
          <w:rFonts w:ascii="Arial" w:hAnsi="Arial" w:cs="Arial"/>
          <w:sz w:val="22"/>
          <w:szCs w:val="22"/>
        </w:rPr>
        <w:t xml:space="preserve"> To create a quanti</w:t>
      </w:r>
      <w:r>
        <w:rPr>
          <w:rFonts w:ascii="Arial" w:hAnsi="Arial" w:cs="Arial"/>
          <w:sz w:val="22"/>
          <w:szCs w:val="22"/>
        </w:rPr>
        <w:t>ta</w:t>
      </w:r>
      <w:r w:rsidRPr="00FA68B1">
        <w:rPr>
          <w:rFonts w:ascii="Arial" w:hAnsi="Arial" w:cs="Arial"/>
          <w:sz w:val="22"/>
          <w:szCs w:val="22"/>
        </w:rPr>
        <w:t>tive estimate of degree of discordance, the following four variables were created:</w:t>
      </w:r>
    </w:p>
    <w:p w14:paraId="31C6DE4D" w14:textId="77777777" w:rsidR="0022579F" w:rsidRPr="00FA68B1" w:rsidRDefault="0022579F" w:rsidP="0022579F">
      <w:pPr>
        <w:pStyle w:val="ListParagraph"/>
        <w:numPr>
          <w:ilvl w:val="0"/>
          <w:numId w:val="2"/>
        </w:numPr>
        <w:spacing w:line="480" w:lineRule="auto"/>
        <w:rPr>
          <w:rFonts w:ascii="Arial" w:hAnsi="Arial" w:cs="Arial"/>
          <w:sz w:val="22"/>
          <w:szCs w:val="22"/>
        </w:rPr>
      </w:pPr>
      <w:r w:rsidRPr="00FA68B1">
        <w:rPr>
          <w:rFonts w:ascii="Arial" w:hAnsi="Arial" w:cs="Arial"/>
          <w:sz w:val="22"/>
          <w:szCs w:val="22"/>
        </w:rPr>
        <w:t>Absolute difference between higher an</w:t>
      </w:r>
      <w:r>
        <w:rPr>
          <w:rFonts w:ascii="Arial" w:hAnsi="Arial" w:cs="Arial"/>
          <w:sz w:val="22"/>
          <w:szCs w:val="22"/>
        </w:rPr>
        <w:t>d lower scoring twin on an ADHD</w:t>
      </w:r>
      <w:r w:rsidRPr="00FA68B1">
        <w:rPr>
          <w:rFonts w:ascii="Arial" w:hAnsi="Arial" w:cs="Arial"/>
          <w:sz w:val="22"/>
          <w:szCs w:val="22"/>
        </w:rPr>
        <w:t>–RS (by parent) raw score (range 0-27) obtained at the same time as the RNA and rated over the past 6 months for (i) inattention, (ii) hypera</w:t>
      </w:r>
      <w:r>
        <w:rPr>
          <w:rFonts w:ascii="Arial" w:hAnsi="Arial" w:cs="Arial"/>
          <w:sz w:val="22"/>
          <w:szCs w:val="22"/>
        </w:rPr>
        <w:t>c</w:t>
      </w:r>
      <w:r w:rsidRPr="00FA68B1">
        <w:rPr>
          <w:rFonts w:ascii="Arial" w:hAnsi="Arial" w:cs="Arial"/>
          <w:sz w:val="22"/>
          <w:szCs w:val="22"/>
        </w:rPr>
        <w:t>tivity-impulsivity, and (iii) total. The total is reported here.</w:t>
      </w:r>
    </w:p>
    <w:p w14:paraId="354AFBA7" w14:textId="77777777" w:rsidR="0022579F" w:rsidRPr="00FA68B1" w:rsidRDefault="0022579F" w:rsidP="0022579F">
      <w:pPr>
        <w:pStyle w:val="ListParagraph"/>
        <w:numPr>
          <w:ilvl w:val="0"/>
          <w:numId w:val="2"/>
        </w:numPr>
        <w:spacing w:line="480" w:lineRule="auto"/>
        <w:rPr>
          <w:rFonts w:ascii="Arial" w:hAnsi="Arial" w:cs="Arial"/>
          <w:sz w:val="22"/>
          <w:szCs w:val="22"/>
        </w:rPr>
      </w:pPr>
      <w:r w:rsidRPr="00FA68B1">
        <w:rPr>
          <w:rFonts w:ascii="Arial" w:hAnsi="Arial" w:cs="Arial"/>
          <w:sz w:val="22"/>
          <w:szCs w:val="22"/>
        </w:rPr>
        <w:t>Each pair was ranked on “degree of discordance” base</w:t>
      </w:r>
      <w:r>
        <w:rPr>
          <w:rFonts w:ascii="Arial" w:hAnsi="Arial" w:cs="Arial"/>
          <w:sz w:val="22"/>
          <w:szCs w:val="22"/>
        </w:rPr>
        <w:t xml:space="preserve">d </w:t>
      </w:r>
      <w:r w:rsidRPr="00FA68B1">
        <w:rPr>
          <w:rFonts w:ascii="Arial" w:hAnsi="Arial" w:cs="Arial"/>
          <w:sz w:val="22"/>
          <w:szCs w:val="22"/>
        </w:rPr>
        <w:t>on considering all available data including multiple time points rating scales, the KSADs, and comorbid and substance use conditions. This was achieved by consensus rankings by JN and EB.</w:t>
      </w:r>
    </w:p>
    <w:p w14:paraId="18A4FAAE" w14:textId="77777777" w:rsidR="00FD17BA" w:rsidRDefault="0022579F">
      <w:bookmarkStart w:id="0" w:name="_GoBack"/>
      <w:bookmarkEnd w:id="0"/>
    </w:p>
    <w:sectPr w:rsidR="00FD17BA" w:rsidSect="00980A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034785"/>
    <w:multiLevelType w:val="hybridMultilevel"/>
    <w:tmpl w:val="5B88FDCC"/>
    <w:lvl w:ilvl="0" w:tplc="E48C5E9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4A957DD1"/>
    <w:multiLevelType w:val="hybridMultilevel"/>
    <w:tmpl w:val="83920BDC"/>
    <w:lvl w:ilvl="0" w:tplc="069CD4C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579F"/>
    <w:rsid w:val="0004364B"/>
    <w:rsid w:val="00052FC7"/>
    <w:rsid w:val="00063A16"/>
    <w:rsid w:val="000B18D4"/>
    <w:rsid w:val="00102445"/>
    <w:rsid w:val="00147697"/>
    <w:rsid w:val="00160258"/>
    <w:rsid w:val="00163CB7"/>
    <w:rsid w:val="00176F78"/>
    <w:rsid w:val="001A7A15"/>
    <w:rsid w:val="001C2594"/>
    <w:rsid w:val="001D732C"/>
    <w:rsid w:val="00205D2B"/>
    <w:rsid w:val="0022579F"/>
    <w:rsid w:val="00276D48"/>
    <w:rsid w:val="002E08F8"/>
    <w:rsid w:val="002F5387"/>
    <w:rsid w:val="00383E53"/>
    <w:rsid w:val="003A2EE3"/>
    <w:rsid w:val="003B6889"/>
    <w:rsid w:val="003C648C"/>
    <w:rsid w:val="003D1E1E"/>
    <w:rsid w:val="003D767A"/>
    <w:rsid w:val="00431B43"/>
    <w:rsid w:val="004B4FC7"/>
    <w:rsid w:val="005B64D5"/>
    <w:rsid w:val="00605F5F"/>
    <w:rsid w:val="00630B74"/>
    <w:rsid w:val="00631BCB"/>
    <w:rsid w:val="00647720"/>
    <w:rsid w:val="00704FA6"/>
    <w:rsid w:val="00726541"/>
    <w:rsid w:val="00745B9B"/>
    <w:rsid w:val="00754BEC"/>
    <w:rsid w:val="007A4342"/>
    <w:rsid w:val="007B480A"/>
    <w:rsid w:val="007E38B3"/>
    <w:rsid w:val="0084328D"/>
    <w:rsid w:val="008556BD"/>
    <w:rsid w:val="00874E4E"/>
    <w:rsid w:val="0090408A"/>
    <w:rsid w:val="00940268"/>
    <w:rsid w:val="00980AD5"/>
    <w:rsid w:val="009D4A8D"/>
    <w:rsid w:val="009E3903"/>
    <w:rsid w:val="00A04697"/>
    <w:rsid w:val="00A427C6"/>
    <w:rsid w:val="00AA179E"/>
    <w:rsid w:val="00AE3438"/>
    <w:rsid w:val="00B959A8"/>
    <w:rsid w:val="00BC0C54"/>
    <w:rsid w:val="00BD603B"/>
    <w:rsid w:val="00BE7BE6"/>
    <w:rsid w:val="00C44E0D"/>
    <w:rsid w:val="00C8048E"/>
    <w:rsid w:val="00CA1738"/>
    <w:rsid w:val="00CA3567"/>
    <w:rsid w:val="00D111E4"/>
    <w:rsid w:val="00D25C1A"/>
    <w:rsid w:val="00DF5C0A"/>
    <w:rsid w:val="00E34E08"/>
    <w:rsid w:val="00E45EC9"/>
    <w:rsid w:val="00F03632"/>
    <w:rsid w:val="00F137C4"/>
    <w:rsid w:val="00FB79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5BC681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2579F"/>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579F"/>
    <w:pPr>
      <w:ind w:left="720"/>
      <w:contextualSpacing/>
    </w:pPr>
    <w:rPr>
      <w:rFonts w:eastAsia="Times New Roman"/>
      <w:lang w:val="es-CO"/>
    </w:rPr>
  </w:style>
  <w:style w:type="paragraph" w:styleId="BodyText">
    <w:name w:val="Body Text"/>
    <w:basedOn w:val="Normal"/>
    <w:link w:val="BodyTextChar"/>
    <w:uiPriority w:val="99"/>
    <w:unhideWhenUsed/>
    <w:rsid w:val="0022579F"/>
    <w:pPr>
      <w:spacing w:after="120"/>
    </w:pPr>
    <w:rPr>
      <w:rFonts w:eastAsia="Calibri"/>
      <w:sz w:val="20"/>
      <w:szCs w:val="20"/>
    </w:rPr>
  </w:style>
  <w:style w:type="character" w:customStyle="1" w:styleId="BodyTextChar">
    <w:name w:val="Body Text Char"/>
    <w:basedOn w:val="DefaultParagraphFont"/>
    <w:link w:val="BodyText"/>
    <w:uiPriority w:val="99"/>
    <w:rsid w:val="0022579F"/>
    <w:rPr>
      <w:rFonts w:ascii="Times New Roman" w:eastAsia="Calibri"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2259</Words>
  <Characters>12881</Characters>
  <Application>Microsoft Macintosh Word</Application>
  <DocSecurity>0</DocSecurity>
  <Lines>107</Lines>
  <Paragraphs>30</Paragraphs>
  <ScaleCrop>false</ScaleCrop>
  <LinksUpToDate>false</LinksUpToDate>
  <CharactersWithSpaces>15110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McCaffrey, Timothy A.</dc:creator>
  <cp:keywords/>
  <dc:description/>
  <cp:lastModifiedBy>McCaffrey, Timothy A.</cp:lastModifiedBy>
  <cp:revision>1</cp:revision>
  <dcterms:created xsi:type="dcterms:W3CDTF">2019-11-22T16:10:00Z</dcterms:created>
  <dcterms:modified xsi:type="dcterms:W3CDTF">2019-11-22T16:11:00Z</dcterms:modified>
</cp:coreProperties>
</file>